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bmp" ContentType="image/bmp"/>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b/>
          <w:bCs/>
          <w:sz w:val="48"/>
          <w:szCs w:val="52"/>
        </w:rPr>
      </w:pPr>
      <w:r>
        <w:drawing>
          <wp:anchor distT="0" distB="0" distL="114300" distR="114300" simplePos="0" relativeHeight="251663360" behindDoc="1" locked="0" layoutInCell="1" allowOverlap="1">
            <wp:simplePos x="0" y="0"/>
            <wp:positionH relativeFrom="column">
              <wp:posOffset>-997585</wp:posOffset>
            </wp:positionH>
            <wp:positionV relativeFrom="paragraph">
              <wp:posOffset>-1338580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2"/>
                    <a:stretch>
                      <a:fillRect/>
                    </a:stretch>
                  </pic:blipFill>
                  <pic:spPr>
                    <a:xfrm>
                      <a:off x="0" y="0"/>
                      <a:ext cx="7592060" cy="10739755"/>
                    </a:xfrm>
                    <a:prstGeom prst="rect">
                      <a:avLst/>
                    </a:prstGeom>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2336;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v:textbox>
              </v:shape>
            </w:pict>
          </mc:Fallback>
        </mc:AlternateContent>
      </w:r>
      <w:r>
        <w:br w:type="page"/>
      </w:r>
    </w:p>
    <w:p>
      <w:pPr>
        <w:rPr>
          <w:rFonts w:ascii="黑体" w:hAnsi="黑体" w:eastAsia="黑体" w:cs="黑体"/>
          <w:sz w:val="72"/>
          <w:szCs w:val="96"/>
        </w:rPr>
      </w:pP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中国共产党新乐市纪律检查委员会</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rPr>
          <w:rFonts w:hint="eastAsia" w:ascii="黑体" w:hAnsi="黑体" w:eastAsia="黑体" w:cs="黑体"/>
          <w:sz w:val="72"/>
          <w:szCs w:val="96"/>
          <w:lang w:eastAsia="zh-CN"/>
        </w:rPr>
      </w:pPr>
      <w:r>
        <w:rPr>
          <w:rFonts w:hint="eastAsia" w:ascii="黑体" w:hAnsi="黑体" w:eastAsia="黑体" w:cs="黑体"/>
          <w:sz w:val="72"/>
          <w:szCs w:val="96"/>
          <w:lang w:eastAsia="zh-CN"/>
        </w:rPr>
        <w:t>中共新乐市纪委</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4"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4"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r>
        <w:rPr>
          <w:sz w:val="72"/>
        </w:rPr>
        <mc:AlternateContent>
          <mc:Choice Requires="wps">
            <w:drawing>
              <wp:anchor distT="0" distB="0" distL="114300" distR="114300" simplePos="0" relativeHeight="251652096"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2096;v-text-anchor:middle;mso-width-relative:page;mso-height-relative:page;" fillcolor="#7F7F7F [1612]" filled="t" stroked="t" coordsize="21600,21600" o:gfxdata="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OCXofcAAAADQEAAA8A&#10;AAAAAAAAAQAgAAAAIgAAAGRycy9kb3ducmV2LnhtbFBLAQIUABQAAAAIAIdO4kCVxoSdhQIAACMF&#10;AAAOAAAAAAAAAAEAIAAAACsBAABkcnMvZTJvRG9jLnhtbFBLBQYAAAAABgAGAFkBAAAiBgAAAAA=&#10;">
                <v:fill type="pattern" on="t" color2="#FFFFFF [3212]"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ind w:firstLine="640" w:firstLineChars="200"/>
        <w:rPr>
          <w:rFonts w:ascii="仿宋" w:hAnsi="仿宋" w:eastAsia="仿宋" w:cs="仿宋"/>
          <w:sz w:val="32"/>
          <w:szCs w:val="32"/>
        </w:rPr>
      </w:pPr>
      <w:r>
        <w:rPr>
          <w:rFonts w:hint="eastAsia" w:ascii="仿宋" w:hAnsi="仿宋" w:eastAsia="仿宋" w:cs="仿宋"/>
          <w:color w:val="000000"/>
          <w:sz w:val="32"/>
          <w:szCs w:val="32"/>
        </w:rPr>
        <w:t>中共新乐市纪律检查委员会、新乐市监察委员会机关合署办公，实行一套工作机构、两个机关名称，履行纪检、监察两项职能</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中共新乐市委巡察工作领导小组办公室，成立于2019年1月，属独立编制机构，为便于开展财务工作，</w:t>
      </w:r>
      <w:r>
        <w:rPr>
          <w:rFonts w:hint="eastAsia" w:ascii="仿宋" w:hAnsi="仿宋" w:eastAsia="仿宋" w:cs="仿宋_GB2312"/>
          <w:sz w:val="32"/>
          <w:szCs w:val="32"/>
        </w:rPr>
        <w:t>2020年度作为新乐市纪检委下属单位进行财务核算，是市财政全额拨款的行政单位，其经费收支纳入纪检委统一核算</w:t>
      </w:r>
      <w:r>
        <w:rPr>
          <w:rFonts w:hint="eastAsia" w:ascii="仿宋" w:hAnsi="仿宋" w:eastAsia="仿宋" w:cs="仿宋_GB2312"/>
          <w:sz w:val="32"/>
          <w:szCs w:val="32"/>
          <w:lang w:eastAsia="zh-CN"/>
        </w:rPr>
        <w:t>。</w:t>
      </w:r>
    </w:p>
    <w:p>
      <w:pPr>
        <w:widowControl/>
        <w:ind w:firstLine="640" w:firstLineChars="200"/>
        <w:rPr>
          <w:rFonts w:ascii="仿宋" w:hAnsi="仿宋" w:eastAsia="仿宋" w:cs="仿宋"/>
          <w:color w:val="000000"/>
          <w:kern w:val="10"/>
          <w:sz w:val="32"/>
          <w:szCs w:val="32"/>
        </w:rPr>
      </w:pPr>
      <w:r>
        <w:rPr>
          <w:rFonts w:hint="eastAsia" w:ascii="仿宋" w:hAnsi="仿宋" w:eastAsia="仿宋" w:cs="仿宋"/>
          <w:color w:val="000000"/>
          <w:kern w:val="10"/>
          <w:sz w:val="32"/>
          <w:szCs w:val="32"/>
        </w:rPr>
        <w:t>纪检职责：</w:t>
      </w:r>
    </w:p>
    <w:p>
      <w:pPr>
        <w:widowControl/>
        <w:rPr>
          <w:rFonts w:ascii="仿宋" w:hAnsi="仿宋" w:eastAsia="仿宋" w:cs="仿宋"/>
          <w:color w:val="000000"/>
          <w:sz w:val="32"/>
          <w:szCs w:val="32"/>
          <w:u w:val="none"/>
          <w:shd w:val="clear" w:color="auto" w:fill="FFFFFF"/>
        </w:rPr>
      </w:pPr>
      <w:r>
        <w:rPr>
          <w:rFonts w:hint="eastAsia" w:ascii="仿宋" w:hAnsi="仿宋" w:eastAsia="仿宋" w:cs="仿宋"/>
          <w:color w:val="333333"/>
          <w:sz w:val="32"/>
          <w:szCs w:val="32"/>
          <w:shd w:val="clear" w:color="auto" w:fill="FFFFFF"/>
        </w:rPr>
        <w:t>　　</w:t>
      </w:r>
      <w:r>
        <w:rPr>
          <w:rFonts w:hint="eastAsia" w:ascii="仿宋" w:hAnsi="仿宋" w:eastAsia="仿宋" w:cs="仿宋"/>
          <w:color w:val="000000"/>
          <w:sz w:val="32"/>
          <w:szCs w:val="32"/>
          <w:shd w:val="clear" w:color="auto" w:fill="FFFFFF"/>
        </w:rPr>
        <w:t>维护党的章程和其他</w:t>
      </w:r>
      <w:r>
        <w:rPr>
          <w:u w:val="none"/>
        </w:rPr>
        <w:fldChar w:fldCharType="begin"/>
      </w:r>
      <w:r>
        <w:rPr>
          <w:u w:val="none"/>
        </w:rPr>
        <w:instrText xml:space="preserve"> HYPERLINK "https://baike.baidu.com/item/%E5%85%9A%E5%86%85%E6%B3%95%E8%A7%84"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党内法规</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shd w:val="clear" w:color="auto" w:fill="FFFFFF"/>
        </w:rPr>
        <w:t>，协助党的委员会加强</w:t>
      </w:r>
      <w:r>
        <w:rPr>
          <w:u w:val="none"/>
        </w:rPr>
        <w:fldChar w:fldCharType="begin"/>
      </w:r>
      <w:r>
        <w:rPr>
          <w:u w:val="none"/>
        </w:rPr>
        <w:instrText xml:space="preserve"> HYPERLINK "https://baike.baidu.com/item/%E5%85%9A%E9%A3%8E%E5%BB%BA%E8%AE%BE"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党风建设</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，检查党的路线方针政策和决议的执行情况；对党员进行遵守纪律的</w:t>
      </w:r>
      <w:r>
        <w:rPr>
          <w:u w:val="none"/>
        </w:rPr>
        <w:fldChar w:fldCharType="begin"/>
      </w:r>
      <w:r>
        <w:rPr>
          <w:u w:val="none"/>
        </w:rPr>
        <w:instrText xml:space="preserve"> HYPERLINK "https://baike.baidu.com/item/%E6%95%99%E8%82%B2"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教育</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，作出关于维护</w:t>
      </w:r>
      <w:r>
        <w:rPr>
          <w:u w:val="none"/>
        </w:rPr>
        <w:fldChar w:fldCharType="begin"/>
      </w:r>
      <w:r>
        <w:rPr>
          <w:u w:val="none"/>
        </w:rPr>
        <w:instrText xml:space="preserve"> HYPERLINK "https://baike.baidu.com/item/%E5%85%9A%E7%BA%AA"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党纪</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的决定；检查和处理党的组织和</w:t>
      </w:r>
      <w:r>
        <w:rPr>
          <w:u w:val="none"/>
        </w:rPr>
        <w:fldChar w:fldCharType="begin"/>
      </w:r>
      <w:r>
        <w:rPr>
          <w:u w:val="none"/>
        </w:rPr>
        <w:instrText xml:space="preserve"> HYPERLINK "https://baike.baidu.com/item/%E5%85%9A%E5%91%98"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党员</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违反</w:t>
      </w:r>
      <w:r>
        <w:rPr>
          <w:u w:val="none"/>
        </w:rPr>
        <w:fldChar w:fldCharType="begin"/>
      </w:r>
      <w:r>
        <w:rPr>
          <w:u w:val="none"/>
        </w:rPr>
        <w:instrText xml:space="preserve"> HYPERLINK "https://baike.baidu.com/item/%E5%85%9A%E7%AB%A0"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党章</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和其他</w:t>
      </w:r>
      <w:r>
        <w:rPr>
          <w:u w:val="none"/>
        </w:rPr>
        <w:fldChar w:fldCharType="begin"/>
      </w:r>
      <w:r>
        <w:rPr>
          <w:u w:val="none"/>
        </w:rPr>
        <w:instrText xml:space="preserve"> HYPERLINK "https://baike.baidu.com/item/%E5%85%9A%E5%86%85%E6%B3%95%E8%A7%84"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党内法规</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的比较重要或复杂的案件，决定或取消对这些案件中党员的处分；受理党员的</w:t>
      </w:r>
      <w:r>
        <w:rPr>
          <w:u w:val="none"/>
        </w:rPr>
        <w:fldChar w:fldCharType="begin"/>
      </w:r>
      <w:r>
        <w:rPr>
          <w:u w:val="none"/>
        </w:rPr>
        <w:instrText xml:space="preserve"> HYPERLINK "https://baike.baidu.com/item/%E6%8E%A7%E5%91%8A"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控告</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和</w:t>
      </w:r>
      <w:r>
        <w:rPr>
          <w:u w:val="none"/>
        </w:rPr>
        <w:fldChar w:fldCharType="begin"/>
      </w:r>
      <w:r>
        <w:rPr>
          <w:u w:val="none"/>
        </w:rPr>
        <w:instrText xml:space="preserve"> HYPERLINK "https://baike.baidu.com/item/%E7%94%B3%E8%AF%89"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申诉</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等。</w:t>
      </w:r>
    </w:p>
    <w:p>
      <w:pPr>
        <w:widowControl/>
        <w:shd w:val="clear" w:color="auto" w:fill="FFFFFF"/>
        <w:spacing w:after="225"/>
        <w:ind w:firstLine="420"/>
        <w:jc w:val="left"/>
        <w:rPr>
          <w:rFonts w:ascii="仿宋" w:hAnsi="仿宋" w:eastAsia="仿宋" w:cs="仿宋"/>
          <w:color w:val="333333"/>
          <w:sz w:val="32"/>
          <w:szCs w:val="32"/>
        </w:rPr>
      </w:pPr>
      <w:r>
        <w:rPr>
          <w:rFonts w:hint="eastAsia" w:ascii="仿宋" w:hAnsi="仿宋" w:eastAsia="仿宋" w:cs="仿宋"/>
          <w:b/>
          <w:color w:val="333333"/>
          <w:kern w:val="0"/>
          <w:sz w:val="32"/>
          <w:szCs w:val="32"/>
          <w:shd w:val="clear" w:color="auto" w:fill="FFFFFF"/>
        </w:rPr>
        <w:t>　监察职责</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监察委员会依照</w:t>
      </w:r>
      <w:r>
        <w:rPr>
          <w:rFonts w:hint="eastAsia" w:ascii="仿宋" w:hAnsi="仿宋" w:eastAsia="仿宋" w:cs="仿宋"/>
          <w:color w:val="000000"/>
          <w:sz w:val="32"/>
          <w:szCs w:val="32"/>
          <w:u w:val="none"/>
          <w:shd w:val="clear" w:color="auto" w:fill="FFFFFF"/>
        </w:rPr>
        <w:t>《</w:t>
      </w:r>
      <w:r>
        <w:rPr>
          <w:u w:val="none"/>
        </w:rPr>
        <w:fldChar w:fldCharType="begin"/>
      </w:r>
      <w:r>
        <w:rPr>
          <w:u w:val="none"/>
        </w:rPr>
        <w:instrText xml:space="preserve"> HYPERLINK "https://baike.baidu.com/item/%E4%B8%AD%E5%8D%8E%E4%BA%BA%E6%B0%91%E5%85%B1%E5%92%8C%E5%9B%BD%E8%A1%8C%E6%94%BF%E7%9B%91%E5%AF%9F%E6%B3%95" \t "https://baike.baidu.com/item/%E4%B8%AD%E5%9B%BD%E5%85%B1%E4%BA%A7%E5%85%9A%E4%B8%AD%E5%A4%AE%E7%BA%AA%E5%BE%8B%E6%A3%80%E6%9F%A5%E5%A7%94%E5%91%98%E4%BC%9A/_blank" </w:instrText>
      </w:r>
      <w:r>
        <w:rPr>
          <w:u w:val="none"/>
        </w:rPr>
        <w:fldChar w:fldCharType="separate"/>
      </w:r>
      <w:r>
        <w:rPr>
          <w:rStyle w:val="7"/>
          <w:rFonts w:hint="eastAsia" w:ascii="仿宋" w:hAnsi="仿宋" w:eastAsia="仿宋" w:cs="仿宋"/>
          <w:color w:val="000000"/>
          <w:sz w:val="32"/>
          <w:szCs w:val="32"/>
          <w:u w:val="none"/>
          <w:shd w:val="clear" w:color="auto" w:fill="FFFFFF"/>
        </w:rPr>
        <w:t>中华人民共和国行政监察法</w:t>
      </w:r>
      <w:r>
        <w:rPr>
          <w:rStyle w:val="7"/>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w:t>
      </w:r>
      <w:r>
        <w:rPr>
          <w:rFonts w:hint="eastAsia" w:ascii="仿宋" w:hAnsi="仿宋" w:eastAsia="仿宋" w:cs="仿宋"/>
          <w:color w:val="000000"/>
          <w:kern w:val="0"/>
          <w:sz w:val="32"/>
          <w:szCs w:val="32"/>
          <w:shd w:val="clear" w:color="auto" w:fill="FFFFFF"/>
        </w:rPr>
        <w:t>和有关法律规定履行监督、调查、处置职责：</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对公职人员开展廉政教育，对其依法履职、秉公用权、廉洁从政从业以及道德操守情况进行监督检查；</w:t>
      </w:r>
    </w:p>
    <w:p>
      <w:pPr>
        <w:widowControl/>
        <w:shd w:val="clear" w:color="auto" w:fill="FFFFFF"/>
        <w:spacing w:after="225"/>
        <w:ind w:firstLine="42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对涉嫌贪污贿赂、滥用职权、玩忽职守、权力寻租、利益输送、徇私舞弊以及浪费国家资财等职务违法和职务犯罪进行调查；</w:t>
      </w:r>
    </w:p>
    <w:p>
      <w:pPr>
        <w:pStyle w:val="12"/>
        <w:spacing w:line="580" w:lineRule="exact"/>
        <w:ind w:firstLine="640" w:firstLineChars="200"/>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对违法的公职人员依法作出政务处分决定；对履行职责不力、失职失责的领导人员进行问责；对涉嫌职务犯罪的，将调查结果移送人民检察院依法审查、提起公诉；向监察对象所在单位提出监察建议。</w:t>
      </w:r>
    </w:p>
    <w:p>
      <w:pPr>
        <w:pStyle w:val="12"/>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巡察办的主要职能职责</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1】贯彻中央、省委、石家庄市委和我市市委的有关决议、决定以及省委巡视工作领导小组、石家庄市委巡察工作领导小组的决策部署，负责对市委巡察工作领导小组办公室（以下简称市委巡察办）、市委各巡察组的全面领导；</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【2】研究提出巡察工作规划、年度计划和阶段任务安排；</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【3】听取全市巡察工作汇报；</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【4】研究巡察成果的运用，分类处置，提出相关意见和建议；</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【5】组织对巡察整改落实情况的监督检查；</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【6】向市委报告巡察工作情况；</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【7】对市委巡察办、各市委巡察组进行管理和监督；</w:t>
      </w:r>
    </w:p>
    <w:p>
      <w:pPr>
        <w:pStyle w:val="12"/>
        <w:spacing w:line="580" w:lineRule="exact"/>
        <w:ind w:firstLine="604" w:firstLineChars="200"/>
        <w:rPr>
          <w:rFonts w:hint="eastAsia" w:ascii="仿宋" w:hAnsi="仿宋" w:eastAsia="仿宋" w:cs="仿宋"/>
          <w:bCs/>
          <w:color w:val="000000"/>
          <w:spacing w:val="1"/>
          <w:sz w:val="30"/>
          <w:szCs w:val="30"/>
        </w:rPr>
      </w:pPr>
      <w:r>
        <w:rPr>
          <w:rFonts w:hint="eastAsia" w:ascii="仿宋" w:hAnsi="仿宋" w:eastAsia="仿宋" w:cs="仿宋"/>
          <w:bCs/>
          <w:color w:val="000000"/>
          <w:spacing w:val="1"/>
          <w:sz w:val="30"/>
          <w:szCs w:val="30"/>
        </w:rPr>
        <w:t>【8】研究加强巡察机构和干部队伍建设；</w:t>
      </w:r>
    </w:p>
    <w:p>
      <w:pPr>
        <w:snapToGrid w:val="0"/>
        <w:spacing w:line="520" w:lineRule="exact"/>
        <w:ind w:firstLine="604" w:firstLineChars="200"/>
        <w:rPr>
          <w:rFonts w:hint="eastAsia" w:ascii="仿宋_GB2312" w:hAnsi="仿宋" w:eastAsia="仿宋_GB2312"/>
          <w:sz w:val="32"/>
          <w:szCs w:val="32"/>
        </w:rPr>
      </w:pPr>
      <w:r>
        <w:rPr>
          <w:rFonts w:hint="eastAsia" w:ascii="仿宋" w:hAnsi="仿宋" w:eastAsia="仿宋" w:cs="仿宋"/>
          <w:bCs/>
          <w:color w:val="000000"/>
          <w:spacing w:val="1"/>
          <w:sz w:val="30"/>
          <w:szCs w:val="30"/>
        </w:rPr>
        <w:t>【9】）研究处理巡察工作中的其他重要事项</w:t>
      </w:r>
    </w:p>
    <w:p>
      <w:pPr>
        <w:widowControl/>
        <w:shd w:val="clear" w:color="auto" w:fill="FFFFFF"/>
        <w:spacing w:after="225"/>
        <w:ind w:firstLine="420"/>
        <w:jc w:val="left"/>
        <w:rPr>
          <w:rFonts w:ascii="仿宋" w:hAnsi="仿宋" w:eastAsia="仿宋" w:cs="仿宋"/>
          <w:color w:val="000000"/>
          <w:kern w:val="0"/>
          <w:sz w:val="32"/>
          <w:szCs w:val="32"/>
          <w:shd w:val="clear" w:color="auto" w:fill="FFFFFF"/>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hint="eastAsia" w:ascii="仿宋_GB2312" w:hAnsi="Calibri" w:eastAsia="仿宋_GB2312" w:cs="Arial Black"/>
          <w:kern w:val="0"/>
          <w:sz w:val="32"/>
          <w:szCs w:val="32"/>
          <w:lang w:val="en-US" w:eastAsia="zh-CN"/>
        </w:rPr>
        <w:t>1</w:t>
      </w:r>
      <w:r>
        <w:rPr>
          <w:rFonts w:hint="eastAsia" w:ascii="仿宋_GB2312" w:hAnsi="Calibri" w:eastAsia="仿宋_GB2312" w:cs="Arial Black"/>
          <w:kern w:val="0"/>
          <w:sz w:val="32"/>
          <w:szCs w:val="32"/>
        </w:rPr>
        <w:t xml:space="preserve"> 个，具体情况如下：</w:t>
      </w:r>
    </w:p>
    <w:tbl>
      <w:tblPr>
        <w:tblStyle w:val="9"/>
        <w:tblpPr w:leftFromText="180" w:rightFromText="180" w:vertAnchor="text" w:horzAnchor="page" w:tblpXSpec="center" w:tblpY="10"/>
        <w:tblOverlap w:val="never"/>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lang w:eastAsia="zh-CN"/>
              </w:rPr>
              <w:t>中国共产党新乐市纪律检查委员会</w:t>
            </w:r>
            <w:r>
              <w:rPr>
                <w:rFonts w:hint="eastAsia" w:ascii="仿宋_GB2312" w:hAnsi="Calibri" w:eastAsia="仿宋_GB2312" w:cs="Arial Black"/>
                <w:kern w:val="0"/>
                <w:sz w:val="28"/>
                <w:szCs w:val="28"/>
              </w:rPr>
              <w:t>(本级)</w:t>
            </w:r>
          </w:p>
        </w:tc>
        <w:tc>
          <w:tcPr>
            <w:tcW w:w="2404"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行政单位</w:t>
            </w:r>
          </w:p>
        </w:tc>
        <w:tc>
          <w:tcPr>
            <w:tcW w:w="2622" w:type="dxa"/>
          </w:tcPr>
          <w:p>
            <w:pPr>
              <w:spacing w:line="560" w:lineRule="exact"/>
              <w:jc w:val="center"/>
              <w:rPr>
                <w:rFonts w:hint="eastAsia" w:ascii="仿宋_GB2312" w:hAnsi="Calibri" w:eastAsia="仿宋_GB2312" w:cs="Arial Black"/>
                <w:kern w:val="0"/>
                <w:sz w:val="28"/>
                <w:szCs w:val="28"/>
                <w:lang w:eastAsia="zh-CN"/>
              </w:rPr>
            </w:pPr>
            <w:r>
              <w:rPr>
                <w:rFonts w:hint="eastAsia" w:ascii="仿宋_GB2312" w:hAnsi="Calibri" w:eastAsia="仿宋_GB2312" w:cs="Arial Black"/>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p>
    <w:p>
      <w:pPr>
        <w:widowControl/>
        <w:spacing w:after="160" w:line="580" w:lineRule="exact"/>
        <w:rPr>
          <w:rFonts w:ascii="黑体" w:hAnsi="黑体" w:eastAsia="黑体" w:cs="黑体"/>
          <w:sz w:val="56"/>
          <w:szCs w:val="72"/>
        </w:rPr>
      </w:pPr>
      <w:r>
        <w:rPr>
          <w:sz w:val="72"/>
        </w:rPr>
        <mc:AlternateContent>
          <mc:Choice Requires="wps">
            <w:drawing>
              <wp:anchor distT="0" distB="0" distL="114300" distR="114300" simplePos="0" relativeHeight="25165721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5721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5824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58240;v-text-anchor:middle;mso-width-relative:page;mso-height-relative:page;" fillcolor="#7F7F7F [1612]" filled="t" stroked="t" coordsize="21600,21600" o:gfxdata="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sg6ANwAAAAOAQAADwAA&#10;AAAAAAABACAAAAAiAAAAZHJzL2Rvd25yZXYueG1sUEsBAhQAFAAAAAgAh07iQFOWLHKEAgAAHwUA&#10;AA4AAAAAAAAAAQAgAAAAKwEAAGRycy9lMm9Eb2MueG1sUEsFBgAAAAAGAAYAWQEAACEGAAAAAA==&#10;">
                <v:fill type="pattern" on="t" color2="#FFFFFF [3212]"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pPr/>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本部门2020年度收、支总计（含结转和结余）</w:t>
      </w:r>
      <w:r>
        <w:rPr>
          <w:rFonts w:hint="eastAsia" w:ascii="仿宋_GB2312" w:hAnsi="Times New Roman" w:eastAsia="仿宋_GB2312" w:cs="Wingdings"/>
          <w:sz w:val="32"/>
          <w:szCs w:val="32"/>
          <w:lang w:val="en-US" w:eastAsia="zh-CN"/>
        </w:rPr>
        <w:t>1372.93</w:t>
      </w:r>
      <w:r>
        <w:rPr>
          <w:rFonts w:hint="eastAsia" w:ascii="仿宋_GB2312" w:hAnsi="Times New Roman" w:eastAsia="仿宋_GB2312" w:cs="Wingdings"/>
          <w:sz w:val="32"/>
          <w:szCs w:val="32"/>
        </w:rPr>
        <w:t>万元。与2019年度决算相比，收支各</w:t>
      </w:r>
      <w:r>
        <w:rPr>
          <w:rFonts w:hint="eastAsia" w:ascii="仿宋_GB2312" w:hAnsi="Times New Roman" w:eastAsia="仿宋_GB2312" w:cs="Wingdings"/>
          <w:sz w:val="32"/>
          <w:szCs w:val="32"/>
          <w:lang w:eastAsia="zh-CN"/>
        </w:rPr>
        <w:t>减少</w:t>
      </w:r>
      <w:r>
        <w:rPr>
          <w:rFonts w:hint="eastAsia" w:ascii="仿宋_GB2312" w:hAnsi="Times New Roman" w:eastAsia="仿宋_GB2312" w:cs="Wingdings"/>
          <w:sz w:val="32"/>
          <w:szCs w:val="32"/>
          <w:lang w:val="en-US" w:eastAsia="zh-CN"/>
        </w:rPr>
        <w:t>313.65</w:t>
      </w:r>
      <w:r>
        <w:rPr>
          <w:rFonts w:hint="eastAsia" w:ascii="仿宋_GB2312" w:hAnsi="Times New Roman" w:eastAsia="仿宋_GB2312" w:cs="Wingdings"/>
          <w:sz w:val="32"/>
          <w:szCs w:val="32"/>
        </w:rPr>
        <w:t>万元，</w:t>
      </w:r>
      <w:r>
        <w:rPr>
          <w:rFonts w:hint="eastAsia" w:ascii="仿宋_GB2312" w:hAnsi="Times New Roman" w:eastAsia="仿宋_GB2312" w:cs="Wingdings"/>
          <w:sz w:val="32"/>
          <w:szCs w:val="32"/>
          <w:lang w:eastAsia="zh-CN"/>
        </w:rPr>
        <w:t>减少</w:t>
      </w:r>
      <w:r>
        <w:rPr>
          <w:rFonts w:hint="eastAsia" w:ascii="仿宋_GB2312" w:hAnsi="Times New Roman" w:eastAsia="仿宋_GB2312" w:cs="Wingdings"/>
          <w:sz w:val="32"/>
          <w:szCs w:val="32"/>
          <w:lang w:val="en-US" w:eastAsia="zh-CN"/>
        </w:rPr>
        <w:t>18.60</w:t>
      </w:r>
      <w:r>
        <w:rPr>
          <w:rFonts w:hint="eastAsia" w:ascii="仿宋_GB2312" w:hAnsi="Times New Roman" w:eastAsia="仿宋_GB2312" w:cs="Wingdings"/>
          <w:sz w:val="32"/>
          <w:szCs w:val="32"/>
        </w:rPr>
        <w:t>%，主要原因是</w:t>
      </w:r>
      <w:r>
        <w:rPr>
          <w:rFonts w:hint="eastAsia" w:ascii="仿宋" w:hAnsi="仿宋" w:eastAsia="仿宋" w:cs="仿宋"/>
          <w:sz w:val="32"/>
          <w:szCs w:val="32"/>
        </w:rPr>
        <w:t>人员</w:t>
      </w:r>
      <w:r>
        <w:rPr>
          <w:rFonts w:hint="eastAsia" w:ascii="仿宋" w:hAnsi="仿宋" w:eastAsia="仿宋" w:cs="仿宋"/>
          <w:sz w:val="32"/>
          <w:szCs w:val="32"/>
          <w:lang w:eastAsia="zh-CN"/>
        </w:rPr>
        <w:t>减少和车辆购置和日常开支缩减。</w:t>
      </w:r>
    </w:p>
    <w:p>
      <w:pPr>
        <w:adjustRightInd w:val="0"/>
        <w:snapToGrid w:val="0"/>
        <w:spacing w:line="600" w:lineRule="exact"/>
        <w:rPr>
          <w:rFonts w:ascii="仿宋_GB2312" w:hAnsi="Times New Roman" w:eastAsia="仿宋_GB2312" w:cs="Wingdings"/>
          <w:sz w:val="32"/>
          <w:szCs w:val="32"/>
        </w:rPr>
      </w:pPr>
      <w:r>
        <w:rPr>
          <w:rFonts w:hint="eastAsia" w:ascii="仿宋_GB2312" w:hAnsi="Times New Roman" w:eastAsia="仿宋_GB2312" w:cs="Wingdings"/>
          <w:sz w:val="32"/>
          <w:szCs w:val="32"/>
        </w:rPr>
        <w:drawing>
          <wp:anchor distT="0" distB="0" distL="114300" distR="114300" simplePos="0" relativeHeight="251659264" behindDoc="1" locked="0" layoutInCell="1" allowOverlap="1">
            <wp:simplePos x="0" y="0"/>
            <wp:positionH relativeFrom="column">
              <wp:posOffset>744220</wp:posOffset>
            </wp:positionH>
            <wp:positionV relativeFrom="paragraph">
              <wp:posOffset>62230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ind w:firstLine="640" w:firstLineChars="200"/>
        <w:rPr>
          <w:rFonts w:ascii="仿宋_GB2312" w:hAnsi="Times New Roman" w:eastAsia="仿宋_GB2312" w:cs="Wingdings"/>
          <w:sz w:val="20"/>
          <w:szCs w:val="20"/>
        </w:rPr>
      </w:pPr>
      <w:r>
        <w:rPr>
          <w:rFonts w:ascii="仿宋_GB2312" w:hAnsi="Times New Roman" w:eastAsia="仿宋_GB2312" w:cs="Wingdings"/>
          <w:sz w:val="32"/>
          <w:szCs w:val="32"/>
        </w:rPr>
        <w:tab/>
      </w:r>
    </w:p>
    <w:p>
      <w:pPr>
        <w:keepNext/>
        <w:keepLines/>
        <w:snapToGrid w:val="0"/>
        <w:spacing w:line="600" w:lineRule="exact"/>
        <w:ind w:firstLine="640" w:firstLineChars="200"/>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rPr>
          <w:rFonts w:ascii="黑体" w:hAnsi="Calibri" w:eastAsia="黑体" w:cs="Times New Roman"/>
          <w:sz w:val="32"/>
          <w:szCs w:val="32"/>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w:t>
      </w:r>
      <w:r>
        <w:rPr>
          <w:rFonts w:hint="default" w:ascii="仿宋_GB2312" w:hAnsi="Times New Roman" w:eastAsia="仿宋_GB2312" w:cs="Wingdings"/>
          <w:color w:val="000000" w:themeColor="text1"/>
          <w:sz w:val="32"/>
          <w:szCs w:val="32"/>
          <w:lang w:val="en-US"/>
          <w14:textFill>
            <w14:solidFill>
              <w14:schemeClr w14:val="tx1"/>
            </w14:solidFill>
          </w14:textFill>
        </w:rPr>
        <w:t>1372.93</w:t>
      </w:r>
      <w:r>
        <w:rPr>
          <w:rFonts w:hint="eastAsia" w:ascii="仿宋_GB2312" w:hAnsi="Times New Roman" w:eastAsia="仿宋_GB2312" w:cs="Wingdings"/>
          <w:color w:val="000000" w:themeColor="text1"/>
          <w:sz w:val="32"/>
          <w:szCs w:val="32"/>
          <w14:textFill>
            <w14:solidFill>
              <w14:schemeClr w14:val="tx1"/>
            </w14:solidFill>
          </w14:textFill>
        </w:rPr>
        <w:t>万元，其中：财政拨款收入</w:t>
      </w:r>
      <w:r>
        <w:rPr>
          <w:rFonts w:hint="default" w:ascii="仿宋_GB2312" w:hAnsi="Times New Roman" w:eastAsia="仿宋_GB2312" w:cs="Wingdings"/>
          <w:color w:val="000000" w:themeColor="text1"/>
          <w:sz w:val="32"/>
          <w:szCs w:val="32"/>
          <w:lang w:val="en-US"/>
          <w14:textFill>
            <w14:solidFill>
              <w14:schemeClr w14:val="tx1"/>
            </w14:solidFill>
          </w14:textFill>
        </w:rPr>
        <w:t>1372.93</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hint="default" w:ascii="仿宋_GB2312" w:hAnsi="Times New Roman" w:eastAsia="仿宋_GB2312" w:cs="Wingdings"/>
          <w:color w:val="000000" w:themeColor="text1"/>
          <w:sz w:val="32"/>
          <w:szCs w:val="32"/>
          <w:lang w:val="en-US"/>
          <w14:textFill>
            <w14:solidFill>
              <w14:schemeClr w14:val="tx1"/>
            </w14:solidFill>
          </w14:textFill>
        </w:rPr>
        <w:t>100</w:t>
      </w:r>
      <w:r>
        <w:rPr>
          <w:rFonts w:hint="eastAsia" w:ascii="仿宋_GB2312" w:hAnsi="Times New Roman" w:eastAsia="仿宋_GB2312" w:cs="Wingdings"/>
          <w:color w:val="000000" w:themeColor="text1"/>
          <w:sz w:val="32"/>
          <w:szCs w:val="32"/>
          <w14:textFill>
            <w14:solidFill>
              <w14:schemeClr w14:val="tx1"/>
            </w14:solidFill>
          </w14:textFill>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ascii="仿宋_GB2312" w:hAnsi="Times New Roman" w:eastAsia="仿宋_GB2312" w:cs="Wingdings"/>
          <w:sz w:val="32"/>
          <w:szCs w:val="32"/>
          <w:lang w:val="en-US"/>
        </w:rPr>
        <w:drawing>
          <wp:anchor distT="0" distB="0" distL="114300" distR="114300" simplePos="0" relativeHeight="251663360" behindDoc="1" locked="0" layoutInCell="1" allowOverlap="1">
            <wp:simplePos x="0" y="0"/>
            <wp:positionH relativeFrom="column">
              <wp:posOffset>1464945</wp:posOffset>
            </wp:positionH>
            <wp:positionV relativeFrom="paragraph">
              <wp:posOffset>819150</wp:posOffset>
            </wp:positionV>
            <wp:extent cx="2862580" cy="2310765"/>
            <wp:effectExtent l="4445" t="4445" r="9525" b="889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_GB2312" w:hAnsi="Times New Roman" w:eastAsia="仿宋_GB2312" w:cs="Wingdings"/>
          <w:sz w:val="32"/>
          <w:szCs w:val="32"/>
        </w:rPr>
        <w:t>本部门2020年度本年支出合计</w:t>
      </w:r>
      <w:r>
        <w:rPr>
          <w:rFonts w:hint="default" w:ascii="仿宋_GB2312" w:hAnsi="Times New Roman" w:eastAsia="仿宋_GB2312" w:cs="Wingdings"/>
          <w:sz w:val="32"/>
          <w:szCs w:val="32"/>
          <w:lang w:val="en-US"/>
        </w:rPr>
        <w:t>1372.93</w:t>
      </w:r>
      <w:r>
        <w:rPr>
          <w:rFonts w:hint="eastAsia" w:ascii="仿宋_GB2312" w:hAnsi="Times New Roman" w:eastAsia="仿宋_GB2312" w:cs="Wingdings"/>
          <w:sz w:val="32"/>
          <w:szCs w:val="32"/>
        </w:rPr>
        <w:t>万元，其中：基本支出</w:t>
      </w:r>
      <w:r>
        <w:rPr>
          <w:rFonts w:hint="default" w:ascii="仿宋_GB2312" w:hAnsi="Times New Roman" w:eastAsia="仿宋_GB2312" w:cs="Wingdings"/>
          <w:sz w:val="32"/>
          <w:szCs w:val="32"/>
          <w:lang w:val="en-US"/>
        </w:rPr>
        <w:t>1087.95</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79.24</w:t>
      </w:r>
      <w:r>
        <w:rPr>
          <w:rFonts w:hint="eastAsia" w:ascii="仿宋_GB2312" w:hAnsi="Times New Roman" w:eastAsia="仿宋_GB2312" w:cs="Wingdings"/>
          <w:sz w:val="32"/>
          <w:szCs w:val="32"/>
        </w:rPr>
        <w:t>%；项目支出</w:t>
      </w:r>
      <w:r>
        <w:rPr>
          <w:rFonts w:hint="default" w:ascii="仿宋_GB2312" w:hAnsi="Times New Roman" w:eastAsia="仿宋_GB2312" w:cs="Wingdings"/>
          <w:sz w:val="32"/>
          <w:szCs w:val="32"/>
          <w:lang w:val="en-US"/>
        </w:rPr>
        <w:t>284.98</w:t>
      </w:r>
      <w:r>
        <w:rPr>
          <w:rFonts w:hint="eastAsia" w:ascii="仿宋_GB2312" w:hAnsi="Times New Roman" w:eastAsia="仿宋_GB2312" w:cs="Wingdings"/>
          <w:sz w:val="32"/>
          <w:szCs w:val="32"/>
        </w:rPr>
        <w:t>万元，占</w:t>
      </w:r>
      <w:r>
        <w:rPr>
          <w:rFonts w:hint="default" w:ascii="仿宋_GB2312" w:hAnsi="Times New Roman" w:eastAsia="仿宋_GB2312" w:cs="Wingdings"/>
          <w:sz w:val="32"/>
          <w:szCs w:val="32"/>
          <w:lang w:val="en-US"/>
        </w:rPr>
        <w:t>20.76</w:t>
      </w:r>
      <w:r>
        <w:rPr>
          <w:rFonts w:hint="eastAsia" w:ascii="仿宋_GB2312" w:hAnsi="Times New Roman" w:eastAsia="仿宋_GB2312" w:cs="Wingdings"/>
          <w:sz w:val="32"/>
          <w:szCs w:val="32"/>
        </w:rPr>
        <w:t>%；如图所示：</w:t>
      </w:r>
    </w:p>
    <w:p>
      <w:pPr>
        <w:adjustRightInd w:val="0"/>
        <w:snapToGrid w:val="0"/>
        <w:spacing w:line="600" w:lineRule="exact"/>
        <w:ind w:firstLine="1260" w:firstLineChars="600"/>
        <w:rPr>
          <w:rFonts w:ascii="仿宋_GB2312" w:hAnsi="Times New Roman" w:eastAsia="仿宋_GB2312" w:cs="Wingdings"/>
          <w:sz w:val="32"/>
          <w:szCs w:val="32"/>
          <w:lang w:val="en-US"/>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黑体" w:hAnsi="Calibri" w:eastAsia="黑体" w:cs="Times New Roman"/>
          <w:sz w:val="32"/>
          <w:szCs w:val="32"/>
        </w:rPr>
      </w:pPr>
      <w:r>
        <w:rPr>
          <w:sz w:val="32"/>
        </w:rPr>
        <mc:AlternateContent>
          <mc:Choice Requires="wps">
            <w:drawing>
              <wp:anchor distT="0" distB="0" distL="114300" distR="114300" simplePos="0" relativeHeight="251653120" behindDoc="1" locked="0" layoutInCell="1" allowOverlap="1">
                <wp:simplePos x="0" y="0"/>
                <wp:positionH relativeFrom="column">
                  <wp:posOffset>1270635</wp:posOffset>
                </wp:positionH>
                <wp:positionV relativeFrom="paragraph">
                  <wp:posOffset>934085</wp:posOffset>
                </wp:positionV>
                <wp:extent cx="3314065" cy="483235"/>
                <wp:effectExtent l="4445" t="4445" r="15240" b="7620"/>
                <wp:wrapNone/>
                <wp:docPr id="30" name="文本框 30"/>
                <wp:cNvGraphicFramePr/>
                <a:graphic xmlns:a="http://schemas.openxmlformats.org/drawingml/2006/main">
                  <a:graphicData uri="http://schemas.microsoft.com/office/word/2010/wordprocessingShape">
                    <wps:wsp>
                      <wps:cNvSpPr txBox="1"/>
                      <wps:spPr>
                        <a:xfrm>
                          <a:off x="2242820" y="9886315"/>
                          <a:ext cx="3314065" cy="483235"/>
                        </a:xfrm>
                        <a:prstGeom prst="rect">
                          <a:avLst/>
                        </a:prstGeom>
                        <a:solidFill>
                          <a:srgbClr val="FFFFFF"/>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default" w:ascii="仿宋_GB2312" w:hAnsi="Times New Roman" w:eastAsia="仿宋_GB2312" w:cs="Wingdings"/>
                                <w:sz w:val="28"/>
                                <w:szCs w:val="28"/>
                                <w:lang w:val="en-US"/>
                              </w:rPr>
                              <w:t>2</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05pt;margin-top:73.55pt;height:38.05pt;width:260.95pt;z-index:-251663360;mso-width-relative:page;mso-height-relative:page;" fillcolor="#FFFFFF" filled="t" stroked="t" coordsize="21600,21600" o:gfxdata="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Ll98dgAAAALAQAA&#10;DwAAAAAAAAABACAAAAAiAAAAZHJzL2Rvd25yZXYueG1sUEsBAhQAFAAAAAgAh07iQGhv3WxSAgAA&#10;hgQAAA4AAAAAAAAAAQAgAAAAJwEAAGRycy9lMm9Eb2MueG1sUEsFBgAAAAAGAAYAWQEAAOsFAAAA&#10;AA==&#10;">
                <v:fill on="t" focussize="0,0"/>
                <v:stroke weight="0.5pt" color="#0000FF [3204]" joinstyle="round"/>
                <v:imagedata o:title=""/>
                <o:lock v:ext="edit" aspectratio="f"/>
                <v:textbox>
                  <w:txbxContent>
                    <w:p>
                      <w:pPr>
                        <w:adjustRightInd w:val="0"/>
                        <w:snapToGrid w:val="0"/>
                        <w:spacing w:after="160" w:line="560" w:lineRule="exact"/>
                        <w:jc w:val="center"/>
                        <w:rPr>
                          <w:rFonts w:ascii="仿宋_GB2312" w:hAnsi="Times New Roman" w:eastAsia="仿宋_GB2312" w:cs="Wingdings"/>
                          <w:sz w:val="28"/>
                          <w:szCs w:val="28"/>
                        </w:rPr>
                      </w:pPr>
                      <w:r>
                        <w:rPr>
                          <w:rFonts w:hint="eastAsia" w:ascii="仿宋_GB2312" w:hAnsi="Times New Roman" w:eastAsia="仿宋_GB2312" w:cs="Wingdings"/>
                          <w:sz w:val="28"/>
                          <w:szCs w:val="28"/>
                        </w:rPr>
                        <w:t>图</w:t>
                      </w:r>
                      <w:r>
                        <w:rPr>
                          <w:rFonts w:hint="default" w:ascii="仿宋_GB2312" w:hAnsi="Times New Roman" w:eastAsia="仿宋_GB2312" w:cs="Wingdings"/>
                          <w:sz w:val="28"/>
                          <w:szCs w:val="28"/>
                          <w:lang w:val="en-US"/>
                        </w:rPr>
                        <w:t>2</w:t>
                      </w:r>
                      <w:r>
                        <w:rPr>
                          <w:rFonts w:hint="eastAsia" w:ascii="仿宋_GB2312" w:hAnsi="Times New Roman" w:eastAsia="仿宋_GB2312" w:cs="Wingdings"/>
                          <w:sz w:val="28"/>
                          <w:szCs w:val="28"/>
                        </w:rPr>
                        <w:t>：支出决算构成情况（按支出性质）</w:t>
                      </w:r>
                    </w:p>
                    <w:p>
                      <w:pPr>
                        <w:spacing w:after="160" w:line="480" w:lineRule="auto"/>
                        <w:rPr>
                          <w:rFonts w:ascii="Times New Roman" w:hAnsi="Times New Roman" w:eastAsia="宋体" w:cs="Times New Roman"/>
                          <w:sz w:val="20"/>
                        </w:rPr>
                      </w:pPr>
                    </w:p>
                  </w:txbxContent>
                </v:textbox>
              </v:shape>
            </w:pict>
          </mc:Fallback>
        </mc:AlternateConten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hint="default" w:ascii="仿宋_GB2312" w:hAnsi="Times New Roman" w:eastAsia="仿宋_GB2312" w:cs="Wingdings"/>
          <w:sz w:val="32"/>
          <w:szCs w:val="32"/>
          <w:lang w:val="en-US"/>
        </w:rPr>
        <w:t>1372.93</w:t>
      </w:r>
      <w:r>
        <w:rPr>
          <w:rFonts w:hint="eastAsia" w:ascii="仿宋_GB2312" w:hAnsi="Times New Roman" w:eastAsia="仿宋_GB2312" w:cs="Wingdings"/>
          <w:sz w:val="32"/>
          <w:szCs w:val="32"/>
        </w:rPr>
        <w:t>万元,比2019年度减少</w:t>
      </w:r>
      <w:r>
        <w:rPr>
          <w:rFonts w:hint="default" w:ascii="仿宋_GB2312" w:hAnsi="Times New Roman" w:eastAsia="仿宋_GB2312" w:cs="Wingdings"/>
          <w:sz w:val="32"/>
          <w:szCs w:val="32"/>
          <w:lang w:val="en-US"/>
        </w:rPr>
        <w:t>313.65</w:t>
      </w:r>
      <w:r>
        <w:rPr>
          <w:rFonts w:hint="eastAsia" w:ascii="仿宋_GB2312" w:hAnsi="Times New Roman" w:eastAsia="仿宋_GB2312" w:cs="Wingdings"/>
          <w:sz w:val="32"/>
          <w:szCs w:val="32"/>
        </w:rPr>
        <w:t>万元，降低</w:t>
      </w:r>
      <w:r>
        <w:rPr>
          <w:rFonts w:hint="default" w:ascii="仿宋_GB2312" w:hAnsi="Times New Roman" w:eastAsia="仿宋_GB2312" w:cs="Wingdings"/>
          <w:sz w:val="32"/>
          <w:szCs w:val="32"/>
          <w:lang w:val="en-US"/>
        </w:rPr>
        <w:t>18.60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人员减少和日常开支减少</w:t>
      </w:r>
      <w:r>
        <w:rPr>
          <w:rFonts w:hint="eastAsia" w:ascii="仿宋_GB2312" w:hAnsi="Times New Roman" w:eastAsia="仿宋_GB2312" w:cs="Wingdings"/>
          <w:sz w:val="32"/>
          <w:szCs w:val="32"/>
        </w:rPr>
        <w:t>；本年支出</w:t>
      </w:r>
      <w:r>
        <w:rPr>
          <w:rFonts w:hint="default" w:ascii="仿宋_GB2312" w:hAnsi="Times New Roman" w:eastAsia="仿宋_GB2312" w:cs="Wingdings"/>
          <w:sz w:val="32"/>
          <w:szCs w:val="32"/>
          <w:lang w:val="en-US"/>
        </w:rPr>
        <w:t>1372.93</w:t>
      </w:r>
      <w:r>
        <w:rPr>
          <w:rFonts w:hint="eastAsia" w:ascii="仿宋_GB2312" w:hAnsi="Times New Roman" w:eastAsia="仿宋_GB2312" w:cs="Wingdings"/>
          <w:sz w:val="32"/>
          <w:szCs w:val="32"/>
        </w:rPr>
        <w:t>万元，增减少</w:t>
      </w:r>
      <w:r>
        <w:rPr>
          <w:rFonts w:hint="default" w:ascii="仿宋_GB2312" w:hAnsi="Times New Roman" w:eastAsia="仿宋_GB2312" w:cs="Wingdings"/>
          <w:sz w:val="32"/>
          <w:szCs w:val="32"/>
          <w:lang w:val="en-US"/>
        </w:rPr>
        <w:t>313.65</w:t>
      </w:r>
      <w:r>
        <w:rPr>
          <w:rFonts w:hint="eastAsia" w:ascii="仿宋_GB2312" w:hAnsi="Times New Roman" w:eastAsia="仿宋_GB2312" w:cs="Wingdings"/>
          <w:sz w:val="32"/>
          <w:szCs w:val="32"/>
        </w:rPr>
        <w:t>万元，降低</w:t>
      </w:r>
      <w:r>
        <w:rPr>
          <w:rFonts w:hint="default" w:ascii="仿宋_GB2312" w:hAnsi="Times New Roman" w:eastAsia="仿宋_GB2312" w:cs="Wingdings"/>
          <w:sz w:val="32"/>
          <w:szCs w:val="32"/>
          <w:lang w:val="en-US"/>
        </w:rPr>
        <w:t>18.60</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人员减少后工资福利支出和日常开支减少</w:t>
      </w:r>
      <w:r>
        <w:rPr>
          <w:rFonts w:hint="eastAsia" w:ascii="仿宋_GB2312" w:hAnsi="Times New Roman" w:eastAsia="仿宋_GB2312" w:cs="Wingdings"/>
          <w:sz w:val="32"/>
          <w:szCs w:val="32"/>
        </w:rPr>
        <w:t>。</w:t>
      </w:r>
    </w:p>
    <w:p>
      <w:pPr>
        <w:snapToGrid w:val="0"/>
        <w:spacing w:line="600" w:lineRule="exact"/>
        <w:ind w:firstLine="643" w:firstLineChars="200"/>
        <w:rPr>
          <w:rFonts w:hint="eastAsia" w:ascii="楷体_GB2312" w:hAnsi="Times New Roman" w:eastAsia="楷体_GB2312" w:cs="Mongolian Baiti"/>
          <w:b/>
          <w:bCs/>
          <w:sz w:val="32"/>
          <w:szCs w:val="32"/>
        </w:rPr>
      </w:pPr>
      <w:r>
        <w:pict>
          <v:shape id="对象 31" o:spid="_x0000_s1029" o:spt="75" type="#_x0000_t75" style="position:absolute;left:0pt;margin-left:50.4pt;margin-top:6.85pt;height:261.95pt;width:354.9pt;z-index:251673600;mso-width-relative:page;mso-height-relative:page;" o:ole="t" filled="f" o:preferrelative="t" stroked="f" coordsize="21600,21600">
            <v:path/>
            <v:fill on="f" focussize="0,0"/>
            <v:stroke on="f" joinstyle="miter"/>
            <v:imagedata r:id="rId17" cropleft="688f" croptop="798f" cropright="5662f" cropbottom="2983f" o:title=""/>
            <o:lock v:ext="edit" aspectratio="f"/>
          </v:shape>
          <o:OLEObject Type="Embed" ProgID="Excel.Sheet.8" ShapeID="对象 31" DrawAspect="Content" ObjectID="_1468075725" r:id="rId16">
            <o:LockedField>false</o:LockedField>
          </o:OLEObject>
        </w:pict>
      </w: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hint="eastAsia" w:ascii="楷体_GB2312" w:hAnsi="Times New Roman" w:eastAsia="楷体_GB2312" w:cs="Mongolian Baiti"/>
          <w:b/>
          <w:bCs/>
          <w:sz w:val="32"/>
          <w:szCs w:val="32"/>
        </w:rPr>
      </w:pP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本部门2020年度一般公共预算财政拨款收入</w:t>
      </w:r>
      <w:r>
        <w:rPr>
          <w:rFonts w:hint="eastAsia" w:ascii="仿宋_GB2312" w:hAnsi="Times New Roman" w:eastAsia="仿宋_GB2312" w:cs="Wingdings"/>
          <w:sz w:val="32"/>
          <w:szCs w:val="32"/>
          <w:lang w:val="en-US" w:eastAsia="zh-CN"/>
        </w:rPr>
        <w:t>1372.93</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99.37</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8.73</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Wingdings"/>
          <w:sz w:val="32"/>
          <w:szCs w:val="32"/>
          <w:lang w:eastAsia="zh-CN"/>
        </w:rPr>
        <w:t>人员减少日常办公设备购置减少</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1372.93</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99.37</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8.73</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Wingdings"/>
          <w:sz w:val="32"/>
          <w:szCs w:val="32"/>
          <w:lang w:eastAsia="zh-CN"/>
        </w:rPr>
        <w:t>人员减少日常办公设备购置减少</w:t>
      </w:r>
      <w:r>
        <w:pict>
          <v:shape id="对象 31" o:spid="_x0000_s1028" o:spt="75" type="#_x0000_t75" style="position:absolute;left:0pt;margin-left:36.4pt;margin-top:181.5pt;height:295.1pt;width:391.4pt;z-index:251665408;mso-width-relative:page;mso-height-relative:page;" filled="f" o:preferrelative="t" stroked="f" coordsize="21600,21600">
            <v:path/>
            <v:fill on="f" focussize="0,0"/>
            <v:stroke on="f" joinstyle="miter"/>
            <v:imagedata r:id="rId18" cropleft="688f" croptop="798f" cropright="5662f" cropbottom="2983f" o:title=""/>
            <o:lock v:ext="edit" aspectratio="f"/>
          </v:shape>
        </w:pict>
      </w: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ascii="仿宋_GB2312" w:hAnsi="Times New Roman" w:eastAsia="仿宋_GB2312" w:cs="Wingdings"/>
          <w:sz w:val="32"/>
          <w:szCs w:val="32"/>
          <w:highlight w:val="yellow"/>
        </w:rPr>
      </w:pPr>
    </w:p>
    <w:p>
      <w:pPr>
        <w:numPr>
          <w:ilvl w:val="0"/>
          <w:numId w:val="1"/>
        </w:numPr>
        <w:adjustRightInd w:val="0"/>
        <w:snapToGrid w:val="0"/>
        <w:spacing w:line="600" w:lineRule="exact"/>
        <w:ind w:left="420" w:leftChars="200"/>
        <w:rPr>
          <w:rFonts w:hint="eastAsia" w:ascii="仿宋_GB2312" w:hAnsi="Times New Roman" w:eastAsia="仿宋_GB2312" w:cs="Wingding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w:t>
      </w:r>
      <w:r>
        <w:rPr>
          <w:rFonts w:hint="default" w:ascii="仿宋_GB2312" w:hAnsi="Times New Roman" w:eastAsia="仿宋_GB2312" w:cs="Wingdings"/>
          <w:sz w:val="32"/>
          <w:szCs w:val="32"/>
          <w:lang w:val="en-US"/>
        </w:rPr>
        <w:t>1372.93</w:t>
      </w:r>
      <w:r>
        <w:rPr>
          <w:rFonts w:hint="eastAsia" w:ascii="仿宋_GB2312" w:hAnsi="Times New Roman" w:eastAsia="仿宋_GB2312" w:cs="Wingdings"/>
          <w:sz w:val="32"/>
          <w:szCs w:val="32"/>
        </w:rPr>
        <w:t>万元，主要用于以下方面</w:t>
      </w:r>
    </w:p>
    <w:p>
      <w:pPr>
        <w:adjustRightInd w:val="0"/>
        <w:snapToGrid w:val="0"/>
        <w:spacing w:line="600" w:lineRule="exact"/>
        <w:ind w:firstLine="640" w:firstLineChars="200"/>
        <w:rPr>
          <w:rFonts w:ascii="楷体_GB2312" w:hAnsi="Times New Roman" w:eastAsia="楷体_GB2312" w:cs="Mongolian Baiti"/>
          <w:b/>
          <w:bCs/>
          <w:sz w:val="32"/>
          <w:szCs w:val="32"/>
        </w:rPr>
      </w:pPr>
      <w:r>
        <w:rPr>
          <w:rFonts w:hint="eastAsia" w:ascii="仿宋_GB2312" w:hAnsi="Times New Roman" w:eastAsia="仿宋_GB2312" w:cs="Wingdings"/>
          <w:sz w:val="32"/>
          <w:szCs w:val="32"/>
        </w:rPr>
        <w:t>一般公共服务（类）支出</w:t>
      </w:r>
      <w:r>
        <w:rPr>
          <w:rFonts w:hint="default" w:ascii="仿宋_GB2312" w:hAnsi="Times New Roman" w:eastAsia="仿宋_GB2312" w:cs="Wingdings"/>
          <w:sz w:val="32"/>
          <w:szCs w:val="32"/>
          <w:lang w:val="en-US"/>
        </w:rPr>
        <w:t>1174.03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85.51</w:t>
      </w:r>
      <w:r>
        <w:rPr>
          <w:rFonts w:hint="eastAsia" w:ascii="仿宋_GB2312" w:hAnsi="Times New Roman" w:eastAsia="仿宋_GB2312" w:cs="Wingdings"/>
          <w:sz w:val="32"/>
          <w:szCs w:val="32"/>
        </w:rPr>
        <w:t xml:space="preserve">%，；社会保障和就业（类）支出 </w:t>
      </w:r>
      <w:r>
        <w:rPr>
          <w:rFonts w:hint="default" w:ascii="仿宋_GB2312" w:hAnsi="Times New Roman" w:eastAsia="仿宋_GB2312" w:cs="Wingdings"/>
          <w:sz w:val="32"/>
          <w:szCs w:val="32"/>
          <w:lang w:val="en-US"/>
        </w:rPr>
        <w:t>80.</w:t>
      </w:r>
      <w:r>
        <w:rPr>
          <w:rFonts w:hint="eastAsia" w:ascii="仿宋_GB2312" w:hAnsi="Times New Roman" w:eastAsia="仿宋_GB2312" w:cs="Wingdings"/>
          <w:sz w:val="32"/>
          <w:szCs w:val="32"/>
          <w:lang w:val="en-US" w:eastAsia="zh-CN"/>
        </w:rPr>
        <w:t>41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5.86</w:t>
      </w:r>
      <w:r>
        <w:rPr>
          <w:rFonts w:hint="eastAsia" w:ascii="仿宋_GB2312" w:hAnsi="Times New Roman" w:eastAsia="仿宋_GB2312" w:cs="Wingdings"/>
          <w:sz w:val="32"/>
          <w:szCs w:val="32"/>
        </w:rPr>
        <w:t>%；住房保障（类）支出</w:t>
      </w:r>
      <w:r>
        <w:rPr>
          <w:rFonts w:hint="default" w:ascii="仿宋_GB2312" w:hAnsi="Times New Roman" w:eastAsia="仿宋_GB2312" w:cs="Wingdings"/>
          <w:sz w:val="32"/>
          <w:szCs w:val="32"/>
          <w:lang w:val="en-US"/>
        </w:rPr>
        <w:t>80.36</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5.8</w:t>
      </w:r>
      <w:r>
        <w:rPr>
          <w:rFonts w:hint="default" w:ascii="仿宋_GB2312" w:hAnsi="Times New Roman" w:eastAsia="仿宋_GB2312" w:cs="Wingdings"/>
          <w:sz w:val="32"/>
          <w:szCs w:val="32"/>
          <w:lang w:val="en-US" w:eastAsia="zh-CN"/>
        </w:rPr>
        <w:t>5</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卫生健康支出</w:t>
      </w:r>
      <w:r>
        <w:rPr>
          <w:rFonts w:hint="eastAsia" w:ascii="仿宋_GB2312" w:hAnsi="Times New Roman" w:eastAsia="仿宋_GB2312" w:cs="Wingdings"/>
          <w:sz w:val="32"/>
          <w:szCs w:val="32"/>
          <w:lang w:val="en-US" w:eastAsia="zh-CN"/>
        </w:rPr>
        <w:t>38.13万元，占2.78%</w:t>
      </w:r>
      <w:r>
        <w:rPr>
          <w:rFonts w:hint="eastAsia" w:ascii="仿宋_GB2312" w:hAnsi="Times New Roman" w:eastAsia="仿宋_GB2312" w:cs="Wingdings"/>
          <w:sz w:val="32"/>
          <w:szCs w:val="32"/>
        </w:rPr>
        <w:t>。</w:t>
      </w: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r>
        <w:pict>
          <v:shape id="_x0000_s1026" o:spid="_x0000_s1026" o:spt="75" type="#_x0000_t75" style="position:absolute;left:0pt;margin-left:41.35pt;margin-top:1.7pt;height:260.9pt;width:318.1pt;z-index:251664384;mso-width-relative:page;mso-height-relative:page;" o:ole="t" filled="f" o:preferrelative="t" stroked="f" coordsize="21600,21600">
            <v:path/>
            <v:fill on="f" focussize="0,0"/>
            <v:stroke on="f" joinstyle="miter"/>
            <v:imagedata r:id="rId20" cropleft="753f" croptop="1088f" cropright="4288f" cropbottom="855f" o:title=""/>
            <o:lock v:ext="edit" aspectratio="f"/>
          </v:shape>
          <o:OLEObject Type="Embed" ProgID="Excel.Sheet.8" ShapeID="_x0000_s1026" DrawAspect="Content" ObjectID="_1468075726" r:id="rId19">
            <o:LockedField>false</o:LockedField>
          </o:OLEObject>
        </w:pict>
      </w: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hint="eastAsia" w:ascii="楷体_GB2312" w:hAnsi="Times New Roman" w:eastAsia="楷体_GB2312" w:cs="Mongolian Baiti"/>
          <w:b/>
          <w:bCs/>
          <w:sz w:val="32"/>
          <w:szCs w:val="32"/>
        </w:rPr>
      </w:pPr>
    </w:p>
    <w:p>
      <w:pPr>
        <w:adjustRightInd w:val="0"/>
        <w:snapToGrid w:val="0"/>
        <w:spacing w:line="600" w:lineRule="exact"/>
        <w:rPr>
          <w:rFonts w:hint="eastAsia" w:ascii="楷体_GB2312" w:hAnsi="Times New Roman" w:eastAsia="楷体_GB2312" w:cs="Mongolian Baiti"/>
          <w:b/>
          <w:bCs/>
          <w:sz w:val="32"/>
          <w:szCs w:val="32"/>
        </w:rPr>
      </w:pPr>
    </w:p>
    <w:p>
      <w:pPr>
        <w:adjustRightInd w:val="0"/>
        <w:snapToGrid w:val="0"/>
        <w:spacing w:line="600" w:lineRule="exact"/>
        <w:ind w:left="420" w:leftChars="200"/>
        <w:rPr>
          <w:rFonts w:ascii="仿宋_GB2312" w:hAnsi="Times New Roman" w:eastAsia="仿宋_GB2312" w:cs="Wingdings"/>
          <w:sz w:val="32"/>
          <w:szCs w:val="32"/>
          <w:highlight w:val="yellow"/>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1087.95</w:t>
      </w:r>
      <w:r>
        <w:rPr>
          <w:rFonts w:hint="eastAsia" w:ascii="仿宋_GB2312" w:hAnsi="Times New Roman" w:eastAsia="仿宋_GB2312" w:cs="Wingdings"/>
          <w:sz w:val="32"/>
          <w:szCs w:val="32"/>
        </w:rPr>
        <w:t>万元，其中：人员经费</w:t>
      </w:r>
      <w:r>
        <w:rPr>
          <w:rFonts w:hint="eastAsia" w:ascii="仿宋_GB2312" w:hAnsi="Times New Roman" w:eastAsia="仿宋_GB2312" w:cs="Wingdings"/>
          <w:sz w:val="32"/>
          <w:szCs w:val="32"/>
          <w:lang w:val="en-US" w:eastAsia="zh-CN"/>
        </w:rPr>
        <w:t>894.41</w:t>
      </w:r>
      <w:r>
        <w:rPr>
          <w:rFonts w:hint="eastAsia" w:ascii="仿宋_GB2312" w:hAnsi="Times New Roman" w:eastAsia="仿宋_GB2312" w:cs="Wingdings"/>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hAnsi="Times New Roman" w:eastAsia="仿宋_GB2312" w:cs="Wingdings"/>
          <w:sz w:val="32"/>
          <w:szCs w:val="32"/>
          <w:lang w:val="en-US" w:eastAsia="zh-CN"/>
        </w:rPr>
        <w:t>193.55</w:t>
      </w:r>
      <w:r>
        <w:rPr>
          <w:rFonts w:hint="eastAsia" w:ascii="仿宋_GB2312" w:hAnsi="Times New Roman" w:eastAsia="仿宋_GB2312" w:cs="Wingdings"/>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23.1</w:t>
      </w:r>
      <w:r>
        <w:rPr>
          <w:rFonts w:hint="eastAsia" w:ascii="仿宋_GB2312" w:hAnsi="Times New Roman" w:eastAsia="仿宋_GB2312" w:cs="Wingdings"/>
          <w:sz w:val="32"/>
          <w:szCs w:val="32"/>
        </w:rPr>
        <w:t>万元，支出决算为</w:t>
      </w:r>
      <w:r>
        <w:rPr>
          <w:rFonts w:hint="eastAsia" w:ascii="仿宋_GB2312" w:hAnsi="Times New Roman" w:eastAsia="仿宋_GB2312" w:cs="Wingdings"/>
          <w:sz w:val="32"/>
          <w:szCs w:val="32"/>
          <w:lang w:val="en-US" w:eastAsia="zh-CN"/>
        </w:rPr>
        <w:t>22.99</w:t>
      </w:r>
      <w:r>
        <w:rPr>
          <w:rFonts w:hint="eastAsia" w:ascii="仿宋_GB2312" w:hAnsi="Times New Roman" w:eastAsia="仿宋_GB2312" w:cs="Wingdings"/>
          <w:sz w:val="32"/>
          <w:szCs w:val="32"/>
        </w:rPr>
        <w:t>元，完成预算的</w:t>
      </w:r>
      <w:r>
        <w:rPr>
          <w:rFonts w:hint="eastAsia" w:ascii="仿宋_GB2312" w:hAnsi="Times New Roman" w:eastAsia="仿宋_GB2312" w:cs="Wingdings"/>
          <w:sz w:val="32"/>
          <w:szCs w:val="32"/>
          <w:lang w:val="en-US" w:eastAsia="zh-CN"/>
        </w:rPr>
        <w:t>99.52</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0.11</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0.48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厉行节约减少开支</w:t>
      </w:r>
      <w:r>
        <w:rPr>
          <w:rFonts w:hint="eastAsia" w:ascii="仿宋_GB2312" w:hAnsi="Times New Roman" w:eastAsia="仿宋_GB2312" w:cs="Wingdings"/>
          <w:sz w:val="32"/>
          <w:szCs w:val="32"/>
        </w:rPr>
        <w:t>；较2019年度减少</w:t>
      </w:r>
      <w:r>
        <w:rPr>
          <w:rFonts w:hint="eastAsia" w:ascii="仿宋_GB2312" w:hAnsi="Times New Roman" w:eastAsia="仿宋_GB2312" w:cs="Wingdings"/>
          <w:sz w:val="32"/>
          <w:szCs w:val="32"/>
          <w:lang w:val="en-US" w:eastAsia="zh-CN"/>
        </w:rPr>
        <w:t>36.84</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61.57</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2019年购买4辆公车，</w:t>
      </w:r>
      <w:r>
        <w:rPr>
          <w:rFonts w:hint="eastAsia" w:ascii="仿宋_GB2312" w:hAnsi="Times New Roman" w:eastAsia="仿宋_GB2312" w:cs="Wingdings"/>
          <w:sz w:val="32"/>
          <w:szCs w:val="32"/>
          <w:lang w:eastAsia="zh-CN"/>
        </w:rPr>
        <w:t>本年度无车辆购置</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hAnsi="Times New Roman" w:eastAsia="仿宋_GB2312" w:cs="Wingdings"/>
          <w:sz w:val="32"/>
          <w:szCs w:val="32"/>
          <w:lang w:eastAsia="zh-CN"/>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本部门2020年因公出国（境）费支出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Times New Roman" w:eastAsia="仿宋_GB2312" w:cs="Wingdings"/>
          <w:sz w:val="32"/>
          <w:szCs w:val="32"/>
        </w:rPr>
        <w:t>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人、参加其他单位组织的因公出国（境）团组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个、共</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人/无本单位组织的出国（境）团组。因</w:t>
      </w:r>
      <w:r>
        <w:rPr>
          <w:rFonts w:hint="eastAsia" w:ascii="仿宋_GB2312" w:hAnsi="Times New Roman" w:eastAsia="仿宋_GB2312" w:cs="Wingdings"/>
          <w:sz w:val="32"/>
          <w:szCs w:val="32"/>
          <w:lang w:eastAsia="zh-CN"/>
        </w:rPr>
        <w:t>无</w:t>
      </w:r>
      <w:r>
        <w:rPr>
          <w:rFonts w:hint="eastAsia" w:ascii="仿宋_GB2312" w:hAnsi="Times New Roman" w:eastAsia="仿宋_GB2312" w:cs="Wingdings"/>
          <w:sz w:val="32"/>
          <w:szCs w:val="32"/>
        </w:rPr>
        <w:t>公出国（境）费支出</w:t>
      </w:r>
      <w:r>
        <w:rPr>
          <w:rFonts w:hint="eastAsia" w:ascii="仿宋_GB2312" w:hAnsi="Times New Roman" w:eastAsia="仿宋_GB2312" w:cs="Wingdings"/>
          <w:sz w:val="32"/>
          <w:szCs w:val="32"/>
          <w:lang w:eastAsia="zh-CN"/>
        </w:rPr>
        <w:t>，与</w:t>
      </w:r>
      <w:r>
        <w:rPr>
          <w:rFonts w:hint="eastAsia" w:ascii="仿宋_GB2312" w:hAnsi="Times New Roman" w:eastAsia="仿宋_GB2312" w:cs="Wingdings"/>
          <w:sz w:val="32"/>
          <w:szCs w:val="32"/>
        </w:rPr>
        <w:t>预算增</w:t>
      </w:r>
      <w:r>
        <w:rPr>
          <w:rFonts w:hint="eastAsia" w:ascii="仿宋_GB2312" w:hAnsi="Times New Roman" w:eastAsia="仿宋_GB2312" w:cs="Wingdings"/>
          <w:sz w:val="32"/>
          <w:szCs w:val="32"/>
          <w:lang w:eastAsia="zh-CN"/>
        </w:rPr>
        <w:t>持平。</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本部门2020年公务用车购置及运行维护费支出</w:t>
      </w:r>
      <w:r>
        <w:rPr>
          <w:rFonts w:hint="eastAsia" w:ascii="仿宋_GB2312" w:hAnsi="仿宋_GB2312" w:eastAsia="仿宋_GB2312" w:cs="仿宋_GB2312"/>
          <w:sz w:val="32"/>
          <w:szCs w:val="32"/>
          <w:lang w:val="en-US" w:eastAsia="zh-CN"/>
        </w:rPr>
        <w:t>22.99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99.52</w:t>
      </w:r>
      <w:r>
        <w:rPr>
          <w:rFonts w:hint="eastAsia" w:ascii="仿宋_GB2312" w:hAnsi="仿宋_GB2312" w:eastAsia="仿宋_GB2312" w:cs="仿宋_GB2312"/>
          <w:sz w:val="32"/>
          <w:szCs w:val="32"/>
        </w:rPr>
        <w:t>%，</w:t>
      </w:r>
      <w:r>
        <w:rPr>
          <w:rFonts w:hint="eastAsia" w:ascii="仿宋_GB2312" w:hAnsi="Times New Roman" w:eastAsia="仿宋_GB2312" w:cs="Wingdings"/>
          <w:sz w:val="32"/>
          <w:szCs w:val="32"/>
        </w:rPr>
        <w:t>较预算减少</w:t>
      </w:r>
      <w:r>
        <w:rPr>
          <w:rFonts w:hint="eastAsia" w:ascii="仿宋_GB2312" w:hAnsi="Times New Roman" w:eastAsia="仿宋_GB2312" w:cs="Wingdings"/>
          <w:sz w:val="32"/>
          <w:szCs w:val="32"/>
          <w:lang w:val="en-US" w:eastAsia="zh-CN"/>
        </w:rPr>
        <w:t>0.11</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0.48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厉行节约减少开支</w:t>
      </w:r>
      <w:r>
        <w:rPr>
          <w:rFonts w:hint="eastAsia" w:ascii="仿宋_GB2312" w:hAnsi="Times New Roman" w:eastAsia="仿宋_GB2312" w:cs="Wingdings"/>
          <w:sz w:val="32"/>
          <w:szCs w:val="32"/>
        </w:rPr>
        <w:t>；较上年</w:t>
      </w:r>
      <w:r>
        <w:rPr>
          <w:rFonts w:hint="eastAsia" w:ascii="仿宋_GB2312" w:hAnsi="Times New Roman" w:eastAsia="仿宋_GB2312" w:cs="Wingdings"/>
          <w:sz w:val="32"/>
          <w:szCs w:val="32"/>
          <w:lang w:eastAsia="zh-CN"/>
        </w:rPr>
        <w:t>减少</w:t>
      </w:r>
      <w:r>
        <w:rPr>
          <w:rFonts w:hint="eastAsia" w:ascii="仿宋_GB2312" w:hAnsi="Times New Roman" w:eastAsia="仿宋_GB2312" w:cs="Wingdings"/>
          <w:sz w:val="32"/>
          <w:szCs w:val="32"/>
          <w:lang w:val="en-US" w:eastAsia="zh-CN"/>
        </w:rPr>
        <w:t>36.84</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61.57</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2019年购买4辆公车，</w:t>
      </w:r>
      <w:r>
        <w:rPr>
          <w:rFonts w:hint="eastAsia" w:ascii="仿宋_GB2312" w:hAnsi="Times New Roman" w:eastAsia="仿宋_GB2312" w:cs="Wingdings"/>
          <w:sz w:val="32"/>
          <w:szCs w:val="32"/>
          <w:lang w:eastAsia="zh-CN"/>
        </w:rPr>
        <w:t>本年度无车辆购置；</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仿宋_GB2312" w:hAnsi="Times New Roman" w:eastAsia="仿宋_GB2312" w:cs="Mongolian Baiti"/>
          <w:b/>
          <w:bCs/>
          <w:sz w:val="32"/>
          <w:szCs w:val="32"/>
        </w:rPr>
        <w:t>其中：</w:t>
      </w:r>
    </w:p>
    <w:p>
      <w:pPr>
        <w:adjustRightInd w:val="0"/>
        <w:snapToGrid w:val="0"/>
        <w:spacing w:line="600" w:lineRule="exact"/>
        <w:ind w:firstLine="640" w:firstLineChars="200"/>
        <w:rPr>
          <w:rFonts w:ascii="仿宋_GB2312" w:hAnsi="Times New Roman" w:eastAsia="仿宋_GB2312" w:cs="Wingdings"/>
          <w:color w:val="000000"/>
          <w:sz w:val="32"/>
          <w:szCs w:val="32"/>
          <w:highlight w:val="yellow"/>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公务用车购置量</w:t>
      </w:r>
      <w:r>
        <w:rPr>
          <w:rFonts w:hint="eastAsia" w:ascii="仿宋_GB2312" w:hAnsi="Times New Roman" w:eastAsia="仿宋_GB2312" w:cs="Wingdings"/>
          <w:sz w:val="32"/>
          <w:szCs w:val="32"/>
          <w:lang w:eastAsia="zh-CN"/>
        </w:rPr>
        <w:t>经费支出</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与年初预算持平。</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Times New Roman" w:eastAsia="仿宋_GB2312" w:cs="Wingdings"/>
          <w:sz w:val="32"/>
          <w:szCs w:val="32"/>
          <w:lang w:val="en-US" w:eastAsia="zh-CN"/>
        </w:rPr>
        <w:t>9</w:t>
      </w:r>
      <w:r>
        <w:rPr>
          <w:rFonts w:hint="eastAsia" w:ascii="仿宋_GB2312" w:hAnsi="Times New Roman" w:eastAsia="仿宋_GB2312" w:cs="Wingdings"/>
          <w:sz w:val="32"/>
          <w:szCs w:val="32"/>
        </w:rPr>
        <w:t>辆,发生运行维护费支出</w:t>
      </w:r>
      <w:r>
        <w:rPr>
          <w:rFonts w:hint="eastAsia" w:ascii="仿宋_GB2312" w:hAnsi="Times New Roman" w:eastAsia="仿宋_GB2312" w:cs="Wingdings"/>
          <w:sz w:val="32"/>
          <w:szCs w:val="32"/>
          <w:lang w:val="en-US" w:eastAsia="zh-CN"/>
        </w:rPr>
        <w:t>22.99</w:t>
      </w:r>
      <w:r>
        <w:rPr>
          <w:rFonts w:hint="eastAsia" w:ascii="仿宋_GB2312" w:hAnsi="Times New Roman" w:eastAsia="仿宋_GB2312" w:cs="Wingdings"/>
          <w:sz w:val="32"/>
          <w:szCs w:val="32"/>
        </w:rPr>
        <w:t>万元。公车运行维护费支出较预算减少</w:t>
      </w:r>
      <w:r>
        <w:rPr>
          <w:rFonts w:hint="eastAsia" w:ascii="仿宋_GB2312" w:hAnsi="Times New Roman" w:eastAsia="仿宋_GB2312" w:cs="Wingdings"/>
          <w:sz w:val="32"/>
          <w:szCs w:val="32"/>
          <w:lang w:val="en-US" w:eastAsia="zh-CN"/>
        </w:rPr>
        <w:t>0.11</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0.48</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行节约减少开支</w:t>
      </w:r>
      <w:r>
        <w:rPr>
          <w:rFonts w:hint="eastAsia" w:ascii="仿宋_GB2312" w:hAnsi="Times New Roman" w:eastAsia="仿宋_GB2312" w:cs="Wingdings"/>
          <w:sz w:val="32"/>
          <w:szCs w:val="32"/>
        </w:rPr>
        <w:t>；较上年减少</w:t>
      </w:r>
      <w:r>
        <w:rPr>
          <w:rFonts w:hint="eastAsia" w:ascii="仿宋_GB2312" w:hAnsi="Times New Roman" w:eastAsia="仿宋_GB2312" w:cs="Wingdings"/>
          <w:sz w:val="32"/>
          <w:szCs w:val="32"/>
          <w:lang w:val="en-US" w:eastAsia="zh-CN"/>
        </w:rPr>
        <w:t>36.84</w:t>
      </w:r>
      <w:r>
        <w:rPr>
          <w:rFonts w:hint="eastAsia" w:ascii="仿宋_GB2312" w:hAnsi="Times New Roman" w:eastAsia="仿宋_GB2312" w:cs="Wingdings"/>
          <w:sz w:val="32"/>
          <w:szCs w:val="32"/>
        </w:rPr>
        <w:t>万元，降低</w:t>
      </w:r>
      <w:r>
        <w:rPr>
          <w:rFonts w:hint="eastAsia" w:ascii="仿宋_GB2312" w:hAnsi="Times New Roman" w:eastAsia="仿宋_GB2312" w:cs="Wingdings"/>
          <w:sz w:val="32"/>
          <w:szCs w:val="32"/>
          <w:lang w:val="en-US" w:eastAsia="zh-CN"/>
        </w:rPr>
        <w:t>61.57</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val="en-US" w:eastAsia="zh-CN"/>
        </w:rPr>
        <w:t>2019年购买4辆公车，</w:t>
      </w:r>
      <w:r>
        <w:rPr>
          <w:rFonts w:hint="eastAsia" w:ascii="仿宋_GB2312" w:hAnsi="Times New Roman" w:eastAsia="仿宋_GB2312" w:cs="Wingdings"/>
          <w:sz w:val="32"/>
          <w:szCs w:val="32"/>
          <w:lang w:eastAsia="zh-CN"/>
        </w:rPr>
        <w:t>本年度无车辆购置</w:t>
      </w:r>
      <w:r>
        <w:rPr>
          <w:rFonts w:hint="eastAsia" w:ascii="仿宋_GB2312" w:hAnsi="Times New Roman" w:eastAsia="仿宋_GB2312" w:cs="Wingdings"/>
          <w:sz w:val="32"/>
          <w:szCs w:val="32"/>
        </w:rPr>
        <w:t>。</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本部门2020年</w:t>
      </w:r>
      <w:r>
        <w:rPr>
          <w:rFonts w:hint="eastAsia" w:ascii="仿宋_GB2312" w:hAnsi="仿宋_GB2312" w:eastAsia="仿宋_GB2312" w:cs="仿宋_GB2312"/>
          <w:sz w:val="32"/>
          <w:szCs w:val="32"/>
          <w:lang w:eastAsia="zh-CN"/>
        </w:rPr>
        <w:t>未发生</w:t>
      </w:r>
      <w:r>
        <w:rPr>
          <w:rFonts w:hint="eastAsia" w:ascii="仿宋_GB2312" w:hAnsi="仿宋_GB2312" w:eastAsia="仿宋_GB2312" w:cs="仿宋_GB2312"/>
          <w:sz w:val="32"/>
          <w:szCs w:val="32"/>
        </w:rPr>
        <w:t>公务接待费支出</w:t>
      </w:r>
      <w:r>
        <w:rPr>
          <w:rFonts w:hint="eastAsia" w:ascii="仿宋_GB2312" w:hAnsi="仿宋_GB2312" w:eastAsia="仿宋_GB2312" w:cs="仿宋_GB2312"/>
          <w:sz w:val="32"/>
          <w:szCs w:val="32"/>
          <w:lang w:eastAsia="zh-CN"/>
        </w:rPr>
        <w:t>，</w:t>
      </w:r>
      <w:r>
        <w:rPr>
          <w:rFonts w:hint="eastAsia" w:ascii="仿宋_GB2312" w:hAnsi="Times New Roman" w:eastAsia="仿宋_GB2312" w:cs="Wingdings"/>
          <w:sz w:val="32"/>
          <w:szCs w:val="32"/>
        </w:rPr>
        <w:t>公务接待费支出</w:t>
      </w:r>
      <w:r>
        <w:rPr>
          <w:rFonts w:hint="eastAsia" w:ascii="仿宋_GB2312" w:hAnsi="Times New Roman" w:eastAsia="仿宋_GB2312" w:cs="Wingdings"/>
          <w:sz w:val="32"/>
          <w:szCs w:val="32"/>
          <w:lang w:eastAsia="zh-CN"/>
        </w:rPr>
        <w:t>与</w:t>
      </w:r>
      <w:r>
        <w:rPr>
          <w:rFonts w:hint="eastAsia" w:ascii="仿宋_GB2312" w:hAnsi="Times New Roman" w:eastAsia="仿宋_GB2312" w:cs="Wingdings"/>
          <w:sz w:val="32"/>
          <w:szCs w:val="32"/>
        </w:rPr>
        <w:t>预算</w:t>
      </w:r>
      <w:r>
        <w:rPr>
          <w:rFonts w:hint="eastAsia" w:ascii="仿宋_GB2312" w:hAnsi="Times New Roman" w:eastAsia="仿宋_GB2312" w:cs="Wingdings"/>
          <w:sz w:val="32"/>
          <w:szCs w:val="32"/>
          <w:lang w:eastAsia="zh-CN"/>
        </w:rPr>
        <w:t>持平。</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w:t>
      </w:r>
      <w:r>
        <w:rPr>
          <w:rFonts w:hint="eastAsia" w:ascii="仿宋_GB2312" w:hAnsi="仿宋_GB2312" w:eastAsia="仿宋_GB2312" w:cs="仿宋_GB2312"/>
          <w:sz w:val="32"/>
          <w:szCs w:val="32"/>
          <w:lang w:eastAsia="zh-CN"/>
        </w:rPr>
        <w:t>全部为</w:t>
      </w:r>
      <w:r>
        <w:rPr>
          <w:rFonts w:hint="eastAsia" w:ascii="仿宋_GB2312" w:hAnsi="仿宋_GB2312" w:eastAsia="仿宋_GB2312" w:cs="仿宋_GB2312"/>
          <w:sz w:val="32"/>
          <w:szCs w:val="32"/>
        </w:rPr>
        <w:t>一般公共预算项目</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个，涉及资金</w:t>
      </w:r>
      <w:r>
        <w:rPr>
          <w:rFonts w:hint="eastAsia" w:ascii="仿宋_GB2312" w:hAnsi="仿宋_GB2312" w:eastAsia="仿宋_GB2312" w:cs="仿宋_GB2312"/>
          <w:sz w:val="32"/>
          <w:szCs w:val="32"/>
          <w:lang w:val="en-US" w:eastAsia="zh-CN"/>
        </w:rPr>
        <w:t>284.98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cs="仿宋"/>
          <w:color w:val="000000"/>
          <w:kern w:val="0"/>
          <w:sz w:val="32"/>
          <w:szCs w:val="32"/>
          <w:shd w:val="clear" w:color="auto" w:fill="FFFFFF"/>
        </w:rPr>
        <w:t>从评价情况来看，我部门20</w:t>
      </w:r>
      <w:r>
        <w:rPr>
          <w:rFonts w:hint="eastAsia" w:ascii="仿宋" w:hAnsi="仿宋" w:eastAsia="仿宋" w:cs="仿宋"/>
          <w:color w:val="000000"/>
          <w:kern w:val="0"/>
          <w:sz w:val="32"/>
          <w:szCs w:val="32"/>
          <w:shd w:val="clear" w:color="auto" w:fill="FFFFFF"/>
          <w:lang w:val="en-US" w:eastAsia="zh-CN"/>
        </w:rPr>
        <w:t>20</w:t>
      </w:r>
      <w:r>
        <w:rPr>
          <w:rFonts w:hint="eastAsia" w:ascii="仿宋" w:hAnsi="仿宋" w:eastAsia="仿宋" w:cs="仿宋"/>
          <w:color w:val="000000"/>
          <w:kern w:val="0"/>
          <w:sz w:val="32"/>
          <w:szCs w:val="32"/>
          <w:shd w:val="clear" w:color="auto" w:fill="FFFFFF"/>
        </w:rPr>
        <w:t>年整体绩效目标完成情况较好。各项目指标值</w:t>
      </w:r>
      <w:r>
        <w:rPr>
          <w:rFonts w:hint="eastAsia" w:ascii="仿宋" w:hAnsi="仿宋" w:eastAsia="仿宋" w:cs="仿宋"/>
          <w:color w:val="000000"/>
          <w:kern w:val="0"/>
          <w:sz w:val="32"/>
          <w:szCs w:val="32"/>
          <w:shd w:val="clear" w:color="auto" w:fill="FFFFFF"/>
          <w:lang w:eastAsia="zh-CN"/>
        </w:rPr>
        <w:t>基本</w:t>
      </w:r>
      <w:r>
        <w:rPr>
          <w:rFonts w:hint="eastAsia" w:ascii="仿宋" w:hAnsi="仿宋" w:eastAsia="仿宋" w:cs="仿宋"/>
          <w:color w:val="000000"/>
          <w:kern w:val="0"/>
          <w:sz w:val="32"/>
          <w:szCs w:val="32"/>
          <w:shd w:val="clear" w:color="auto" w:fill="FFFFFF"/>
        </w:rPr>
        <w:t>达到年初制定的绩效目标，取得了较好的社会效益。</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本部门在今年部门决算公开中反映“</w:t>
      </w:r>
      <w:r>
        <w:rPr>
          <w:rFonts w:hint="eastAsia" w:ascii="仿宋" w:hAnsi="仿宋" w:eastAsia="仿宋" w:cs="仿宋"/>
          <w:color w:val="000000"/>
          <w:kern w:val="0"/>
          <w:sz w:val="32"/>
          <w:szCs w:val="32"/>
          <w:shd w:val="clear" w:color="auto" w:fill="FFFFFF"/>
          <w:lang w:eastAsia="zh-CN"/>
        </w:rPr>
        <w:t>新乐市纪委项目支出</w:t>
      </w: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“新乐市巡察办项目”共</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个项目绩效自评结果。</w:t>
      </w:r>
    </w:p>
    <w:p>
      <w:pPr>
        <w:numPr>
          <w:ilvl w:val="0"/>
          <w:numId w:val="2"/>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color w:val="000000"/>
          <w:kern w:val="0"/>
          <w:sz w:val="32"/>
          <w:szCs w:val="32"/>
          <w:shd w:val="clear" w:color="auto" w:fill="FFFFFF"/>
          <w:lang w:eastAsia="zh-CN"/>
        </w:rPr>
        <w:t>新乐市纪委项目支出</w:t>
      </w:r>
      <w:r>
        <w:rPr>
          <w:rFonts w:hint="eastAsia" w:ascii="仿宋" w:hAnsi="仿宋" w:eastAsia="仿宋" w:cs="仿宋"/>
          <w:color w:val="000000"/>
          <w:kern w:val="0"/>
          <w:sz w:val="32"/>
          <w:szCs w:val="32"/>
          <w:shd w:val="clear" w:color="auto" w:fill="FFFFFF"/>
        </w:rPr>
        <w:t>自评综述：</w:t>
      </w:r>
      <w:r>
        <w:rPr>
          <w:rFonts w:hint="eastAsia" w:ascii="仿宋_GB2312" w:hAnsi="仿宋_GB2312" w:eastAsia="仿宋_GB2312" w:cs="仿宋_GB2312"/>
          <w:sz w:val="32"/>
          <w:szCs w:val="32"/>
        </w:rPr>
        <w:t>根据年初设定的绩效目标，</w:t>
      </w:r>
      <w:r>
        <w:rPr>
          <w:rFonts w:hint="eastAsia" w:ascii="仿宋" w:hAnsi="仿宋" w:eastAsia="仿宋" w:cs="仿宋"/>
          <w:color w:val="000000"/>
          <w:kern w:val="0"/>
          <w:sz w:val="32"/>
          <w:szCs w:val="32"/>
          <w:shd w:val="clear" w:color="auto" w:fill="FFFFFF"/>
          <w:lang w:eastAsia="zh-CN"/>
        </w:rPr>
        <w:t>新乐市纪委项目支出</w:t>
      </w:r>
      <w:r>
        <w:rPr>
          <w:rFonts w:hint="eastAsia" w:ascii="仿宋_GB2312" w:hAnsi="仿宋_GB2312" w:eastAsia="仿宋_GB2312" w:cs="仿宋_GB2312"/>
          <w:sz w:val="32"/>
          <w:szCs w:val="32"/>
        </w:rPr>
        <w:t>项目绩效自评得分为</w:t>
      </w:r>
      <w:r>
        <w:rPr>
          <w:rFonts w:hint="default" w:ascii="仿宋_GB2312" w:hAnsi="仿宋_GB2312" w:eastAsia="仿宋_GB2312" w:cs="仿宋_GB2312"/>
          <w:sz w:val="32"/>
          <w:szCs w:val="32"/>
          <w:lang w:val="en-US"/>
        </w:rPr>
        <w:t>66</w:t>
      </w:r>
      <w:r>
        <w:rPr>
          <w:rFonts w:hint="eastAsia" w:ascii="仿宋_GB2312" w:hAnsi="仿宋_GB2312" w:eastAsia="仿宋_GB2312" w:cs="仿宋_GB2312"/>
          <w:sz w:val="32"/>
          <w:szCs w:val="32"/>
        </w:rPr>
        <w:t>分（绩效自评表附后）</w:t>
      </w:r>
      <w:r>
        <w:rPr>
          <w:rFonts w:hint="eastAsia" w:ascii="仿宋" w:hAnsi="仿宋" w:eastAsia="仿宋" w:cs="仿宋"/>
          <w:color w:val="000000"/>
          <w:kern w:val="0"/>
          <w:sz w:val="32"/>
          <w:szCs w:val="32"/>
          <w:shd w:val="clear" w:color="auto" w:fill="FFFFFF"/>
        </w:rPr>
        <w:t>全年预算数为</w:t>
      </w:r>
      <w:r>
        <w:rPr>
          <w:rFonts w:hint="eastAsia" w:ascii="仿宋" w:hAnsi="仿宋" w:eastAsia="仿宋" w:cs="仿宋"/>
          <w:color w:val="000000"/>
          <w:kern w:val="0"/>
          <w:sz w:val="32"/>
          <w:szCs w:val="32"/>
          <w:shd w:val="clear" w:color="auto" w:fill="FFFFFF"/>
          <w:lang w:val="en-US" w:eastAsia="zh-CN"/>
        </w:rPr>
        <w:t>312.34</w:t>
      </w:r>
      <w:r>
        <w:rPr>
          <w:rFonts w:hint="eastAsia" w:ascii="仿宋" w:hAnsi="仿宋" w:eastAsia="仿宋" w:cs="仿宋"/>
          <w:color w:val="000000"/>
          <w:kern w:val="0"/>
          <w:sz w:val="32"/>
          <w:szCs w:val="32"/>
          <w:shd w:val="clear" w:color="auto" w:fill="FFFFFF"/>
        </w:rPr>
        <w:t>万元，执行数为</w:t>
      </w:r>
      <w:r>
        <w:rPr>
          <w:rFonts w:hint="eastAsia" w:ascii="仿宋" w:hAnsi="仿宋" w:eastAsia="仿宋" w:cs="仿宋"/>
          <w:color w:val="000000"/>
          <w:kern w:val="0"/>
          <w:sz w:val="32"/>
          <w:szCs w:val="32"/>
          <w:shd w:val="clear" w:color="auto" w:fill="FFFFFF"/>
          <w:lang w:val="en-US" w:eastAsia="zh-CN"/>
        </w:rPr>
        <w:t>204.41</w:t>
      </w:r>
      <w:r>
        <w:rPr>
          <w:rFonts w:hint="eastAsia" w:ascii="仿宋" w:hAnsi="仿宋" w:eastAsia="仿宋" w:cs="仿宋"/>
          <w:color w:val="000000"/>
          <w:kern w:val="0"/>
          <w:sz w:val="32"/>
          <w:szCs w:val="32"/>
          <w:shd w:val="clear" w:color="auto" w:fill="FFFFFF"/>
        </w:rPr>
        <w:t>万元，完成预算的</w:t>
      </w:r>
      <w:r>
        <w:rPr>
          <w:rFonts w:hint="eastAsia" w:ascii="仿宋" w:hAnsi="仿宋" w:eastAsia="仿宋" w:cs="仿宋"/>
          <w:color w:val="000000"/>
          <w:kern w:val="0"/>
          <w:sz w:val="32"/>
          <w:szCs w:val="32"/>
          <w:shd w:val="clear" w:color="auto" w:fill="FFFFFF"/>
          <w:lang w:val="en-US" w:eastAsia="zh-CN"/>
        </w:rPr>
        <w:t>65.44</w:t>
      </w:r>
      <w:r>
        <w:rPr>
          <w:rFonts w:hint="eastAsia" w:ascii="仿宋" w:hAnsi="仿宋" w:eastAsia="仿宋" w:cs="仿宋"/>
          <w:color w:val="000000"/>
          <w:kern w:val="0"/>
          <w:sz w:val="32"/>
          <w:szCs w:val="32"/>
          <w:shd w:val="clear" w:color="auto" w:fill="FFFFFF"/>
        </w:rPr>
        <w:t>%。项目绩效目标完成情况：</w:t>
      </w:r>
      <w:r>
        <w:rPr>
          <w:rFonts w:hint="eastAsia" w:ascii="仿宋" w:hAnsi="仿宋" w:eastAsia="仿宋" w:cs="仿宋"/>
          <w:color w:val="000000"/>
          <w:kern w:val="0"/>
          <w:sz w:val="32"/>
          <w:szCs w:val="32"/>
          <w:shd w:val="clear" w:color="auto" w:fill="FFFFFF"/>
          <w:lang w:eastAsia="zh-CN"/>
        </w:rPr>
        <w:t>一是完善工作机制，促进工作全面开展，魏新乐廉政建设保驾护航；二是办案率</w:t>
      </w:r>
      <w:r>
        <w:rPr>
          <w:rFonts w:hint="eastAsia" w:ascii="仿宋" w:hAnsi="仿宋" w:eastAsia="仿宋" w:cs="仿宋"/>
          <w:color w:val="000000"/>
          <w:kern w:val="0"/>
          <w:sz w:val="32"/>
          <w:szCs w:val="32"/>
          <w:shd w:val="clear" w:color="auto" w:fill="FFFFFF"/>
          <w:lang w:val="en-US" w:eastAsia="zh-CN"/>
        </w:rPr>
        <w:t>100%，进一步促进社会稳定；</w:t>
      </w:r>
      <w:r>
        <w:rPr>
          <w:rFonts w:hint="eastAsia" w:ascii="仿宋" w:hAnsi="仿宋" w:eastAsia="仿宋" w:cs="仿宋"/>
          <w:color w:val="000000"/>
          <w:kern w:val="0"/>
          <w:sz w:val="32"/>
          <w:szCs w:val="32"/>
          <w:shd w:val="clear" w:color="auto" w:fill="FFFFFF"/>
        </w:rPr>
        <w:t>项目指标值</w:t>
      </w:r>
      <w:r>
        <w:rPr>
          <w:rFonts w:hint="eastAsia" w:ascii="仿宋" w:hAnsi="仿宋" w:eastAsia="仿宋" w:cs="仿宋"/>
          <w:color w:val="000000"/>
          <w:kern w:val="0"/>
          <w:sz w:val="32"/>
          <w:szCs w:val="32"/>
          <w:shd w:val="clear" w:color="auto" w:fill="FFFFFF"/>
          <w:lang w:eastAsia="zh-CN"/>
        </w:rPr>
        <w:t>大部分</w:t>
      </w:r>
      <w:r>
        <w:rPr>
          <w:rFonts w:hint="eastAsia" w:ascii="仿宋" w:hAnsi="仿宋" w:eastAsia="仿宋" w:cs="仿宋"/>
          <w:color w:val="000000"/>
          <w:kern w:val="0"/>
          <w:sz w:val="32"/>
          <w:szCs w:val="32"/>
          <w:shd w:val="clear" w:color="auto" w:fill="FFFFFF"/>
        </w:rPr>
        <w:t>达到年初制定的绩效目标，</w:t>
      </w:r>
      <w:r>
        <w:rPr>
          <w:rFonts w:hint="eastAsia" w:ascii="仿宋" w:hAnsi="仿宋" w:eastAsia="仿宋" w:cs="仿宋"/>
          <w:color w:val="000000"/>
          <w:kern w:val="0"/>
          <w:sz w:val="32"/>
          <w:szCs w:val="32"/>
          <w:shd w:val="clear" w:color="auto" w:fill="FFFFFF"/>
          <w:lang w:eastAsia="zh-CN"/>
        </w:rPr>
        <w:t>资金使用有效支撑了项目质量，</w:t>
      </w:r>
      <w:r>
        <w:rPr>
          <w:rFonts w:hint="eastAsia" w:ascii="仿宋" w:hAnsi="仿宋" w:eastAsia="仿宋" w:cs="仿宋"/>
          <w:color w:val="000000"/>
          <w:kern w:val="0"/>
          <w:sz w:val="32"/>
          <w:szCs w:val="32"/>
          <w:shd w:val="clear" w:color="auto" w:fill="FFFFFF"/>
        </w:rPr>
        <w:t>社会效益</w:t>
      </w:r>
      <w:r>
        <w:rPr>
          <w:rFonts w:hint="eastAsia" w:ascii="仿宋" w:hAnsi="仿宋" w:eastAsia="仿宋" w:cs="仿宋"/>
          <w:color w:val="000000"/>
          <w:kern w:val="0"/>
          <w:sz w:val="32"/>
          <w:szCs w:val="32"/>
          <w:shd w:val="clear" w:color="auto" w:fill="FFFFFF"/>
          <w:lang w:eastAsia="zh-CN"/>
        </w:rPr>
        <w:t>良好</w:t>
      </w:r>
      <w:r>
        <w:rPr>
          <w:rFonts w:hint="eastAsia" w:ascii="仿宋" w:hAnsi="仿宋" w:eastAsia="仿宋" w:cs="仿宋"/>
          <w:color w:val="000000"/>
          <w:kern w:val="0"/>
          <w:sz w:val="32"/>
          <w:szCs w:val="32"/>
          <w:shd w:val="clear" w:color="auto" w:fill="FFFFFF"/>
        </w:rPr>
        <w:t>。</w:t>
      </w:r>
    </w:p>
    <w:p>
      <w:pPr>
        <w:numPr>
          <w:numId w:val="0"/>
        </w:numPr>
        <w:adjustRightInd w:val="0"/>
        <w:snapToGrid w:val="0"/>
        <w:spacing w:line="600" w:lineRule="exact"/>
        <w:rPr>
          <w:rFonts w:hint="eastAsia" w:ascii="仿宋" w:hAnsi="仿宋" w:eastAsia="仿宋" w:cs="仿宋"/>
          <w:color w:val="000000"/>
          <w:kern w:val="0"/>
          <w:sz w:val="32"/>
          <w:szCs w:val="32"/>
          <w:shd w:val="clear" w:color="auto" w:fill="FFFFFF"/>
        </w:rPr>
      </w:pPr>
    </w:p>
    <w:tbl>
      <w:tblPr>
        <w:tblW w:w="93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91"/>
        <w:gridCol w:w="751"/>
        <w:gridCol w:w="831"/>
        <w:gridCol w:w="758"/>
        <w:gridCol w:w="758"/>
        <w:gridCol w:w="998"/>
        <w:gridCol w:w="958"/>
        <w:gridCol w:w="885"/>
        <w:gridCol w:w="914"/>
        <w:gridCol w:w="691"/>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9369" w:type="dxa"/>
            <w:gridSpan w:val="11"/>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09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新乐市纪委项目支出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251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新乐市纪委222002</w:t>
            </w:r>
          </w:p>
        </w:tc>
        <w:tc>
          <w:tcPr>
            <w:tcW w:w="958"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624" w:type="dxa"/>
            <w:gridSpan w:val="4"/>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新乐市纪委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2273"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51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（B/A）</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312.34</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204.41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0.66</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13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执行率*该指标分值，最高不得超过分值上限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227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其中：本年一般公共预算拨款</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312.34</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204.41</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0.66</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1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73"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51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体目标</w:t>
            </w:r>
          </w:p>
        </w:tc>
        <w:tc>
          <w:tcPr>
            <w:tcW w:w="4096"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458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096"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58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7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w:t>
            </w: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得分计算方法</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（50分）</w:t>
            </w: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完成值达到指标值，记满分；未达到指标值，按B/A或A/B*该指标分值记分。</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完整性</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1.若为定性指标，则根据“三档”原则分别按照指标分值的100-80%（含80%）、80-50%（含50%）、50%-0来记分。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2.若为定量指标，完成值达到指标值，记满分；未达到指标值，按B/A或A/B*该指标分值记分。</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成本合理</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（30分）</w:t>
            </w: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经济合理</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1.若为定性指标，则根据“三档”原则分别按照指标分值的100-80%（含80%）、80-50%（含50%）、50%-0来记分。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2.若为定量指标，完成值达到指标值，记满分；未达到指标值，按B/A或A/B*该指标分值记分。</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保障机关正常运转</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响指标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可持续使用</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83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工作人员满意度</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同效益指标得分计算方式。</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5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799"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23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9" w:type="dxa"/>
            <w:gridSpan w:val="11"/>
            <w:vMerge w:val="restart"/>
            <w:tcBorders>
              <w:top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注：1.得分一档最高不能超过该指标分值上限。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2.定性指标根据指标完成情况分为：达成预期目标、部分达成预期指标并具有一定效果、未达成预期指标且效果较差三档，分别按照该指标对应分值区间100-80%（含80%）、80-50%（含50%）、50%-0合理确定分值。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B）/年度指标值（A）*该指标分值；若定量指标为反向指标（即指标值为≤*），则得分计算方法应用年度指标值（A）/全年实际值（B）*该指标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4.请在“未完成原因分析”一栏中简要说明偏离目标、不能完成目标的原因及今后改进的措施。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9369"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69"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369"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bl>
    <w:p>
      <w:pPr>
        <w:numPr>
          <w:numId w:val="0"/>
        </w:numPr>
        <w:adjustRightInd w:val="0"/>
        <w:snapToGrid w:val="0"/>
        <w:spacing w:line="600" w:lineRule="exact"/>
        <w:rPr>
          <w:rFonts w:hint="eastAsia" w:ascii="仿宋" w:hAnsi="仿宋" w:eastAsia="仿宋" w:cs="仿宋"/>
          <w:color w:val="000000"/>
          <w:kern w:val="0"/>
          <w:sz w:val="32"/>
          <w:szCs w:val="32"/>
          <w:shd w:val="clear" w:color="auto" w:fill="FFFFFF"/>
        </w:rPr>
      </w:pPr>
    </w:p>
    <w:p>
      <w:pPr>
        <w:numPr>
          <w:ilvl w:val="0"/>
          <w:numId w:val="2"/>
        </w:numPr>
        <w:adjustRightInd w:val="0"/>
        <w:snapToGrid w:val="0"/>
        <w:spacing w:line="600" w:lineRule="exact"/>
        <w:ind w:firstLine="640" w:firstLineChars="200"/>
        <w:rPr>
          <w:rFonts w:hint="eastAsia" w:ascii="黑体" w:hAnsi="黑体" w:eastAsia="黑体" w:cs="黑体"/>
          <w:sz w:val="32"/>
          <w:szCs w:val="32"/>
        </w:rPr>
      </w:pPr>
      <w:r>
        <w:rPr>
          <w:rFonts w:hint="eastAsia" w:ascii="仿宋" w:hAnsi="仿宋" w:eastAsia="仿宋" w:cs="仿宋"/>
          <w:color w:val="000000"/>
          <w:kern w:val="0"/>
          <w:sz w:val="32"/>
          <w:szCs w:val="32"/>
          <w:shd w:val="clear" w:color="auto" w:fill="FFFFFF"/>
          <w:lang w:eastAsia="zh-CN"/>
        </w:rPr>
        <w:t>新乐市巡察办</w:t>
      </w:r>
      <w:r>
        <w:rPr>
          <w:rFonts w:hint="eastAsia" w:ascii="仿宋_GB2312" w:hAnsi="仿宋_GB2312" w:eastAsia="仿宋_GB2312" w:cs="仿宋_GB2312"/>
          <w:sz w:val="32"/>
          <w:szCs w:val="32"/>
        </w:rPr>
        <w:t>项目绩效自评综述：根据年初设定的绩效目标，</w:t>
      </w:r>
      <w:r>
        <w:rPr>
          <w:rFonts w:hint="eastAsia" w:ascii="仿宋" w:hAnsi="仿宋" w:eastAsia="仿宋" w:cs="仿宋"/>
          <w:color w:val="000000"/>
          <w:kern w:val="0"/>
          <w:sz w:val="32"/>
          <w:szCs w:val="32"/>
          <w:shd w:val="clear" w:color="auto" w:fill="FFFFFF"/>
          <w:lang w:eastAsia="zh-CN"/>
        </w:rPr>
        <w:t>新乐市巡察办</w:t>
      </w:r>
      <w:r>
        <w:rPr>
          <w:rFonts w:hint="eastAsia" w:ascii="仿宋_GB2312" w:hAnsi="仿宋_GB2312" w:eastAsia="仿宋_GB2312" w:cs="仿宋_GB2312"/>
          <w:sz w:val="32"/>
          <w:szCs w:val="32"/>
        </w:rPr>
        <w:t>项目绩效自评得分为</w:t>
      </w:r>
      <w:r>
        <w:rPr>
          <w:rFonts w:hint="default" w:ascii="仿宋_GB2312" w:hAnsi="仿宋_GB2312" w:eastAsia="仿宋_GB2312" w:cs="仿宋_GB2312"/>
          <w:sz w:val="32"/>
          <w:szCs w:val="32"/>
          <w:lang w:val="en-US"/>
        </w:rPr>
        <w:t>99</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81.66</w:t>
      </w:r>
      <w:r>
        <w:rPr>
          <w:rFonts w:hint="eastAsia" w:ascii="仿宋_GB2312" w:hAnsi="仿宋_GB2312" w:eastAsia="仿宋_GB2312" w:cs="仿宋_GB2312"/>
          <w:sz w:val="32"/>
          <w:szCs w:val="32"/>
        </w:rPr>
        <w:t>万元，执行数为</w:t>
      </w:r>
      <w:r>
        <w:rPr>
          <w:rFonts w:hint="default" w:ascii="仿宋_GB2312" w:hAnsi="仿宋_GB2312" w:eastAsia="仿宋_GB2312" w:cs="仿宋_GB2312"/>
          <w:sz w:val="32"/>
          <w:szCs w:val="32"/>
          <w:lang w:val="en-US" w:eastAsia="zh-CN"/>
        </w:rPr>
        <w:t>80.57</w:t>
      </w:r>
      <w:r>
        <w:rPr>
          <w:rFonts w:hint="eastAsia" w:ascii="仿宋_GB2312" w:hAnsi="仿宋_GB2312" w:eastAsia="仿宋_GB2312" w:cs="仿宋_GB2312"/>
          <w:sz w:val="32"/>
          <w:szCs w:val="32"/>
        </w:rPr>
        <w:t>万元，完成预算的</w:t>
      </w:r>
      <w:r>
        <w:rPr>
          <w:rFonts w:hint="default"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。项目绩效目标完成情况：一是</w:t>
      </w:r>
      <w:r>
        <w:rPr>
          <w:rFonts w:hint="eastAsia" w:ascii="仿宋_GB2312" w:hAnsi="仿宋_GB2312" w:eastAsia="仿宋_GB2312" w:cs="仿宋_GB2312"/>
          <w:sz w:val="32"/>
          <w:szCs w:val="32"/>
          <w:lang w:eastAsia="zh-CN"/>
        </w:rPr>
        <w:t>开展全面巡察，发现问题、及时整改</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年内完成</w:t>
      </w:r>
      <w:r>
        <w:rPr>
          <w:rFonts w:hint="eastAsia" w:ascii="仿宋_GB2312" w:hAnsi="仿宋_GB2312" w:eastAsia="仿宋_GB2312" w:cs="仿宋_GB2312"/>
          <w:sz w:val="32"/>
          <w:szCs w:val="32"/>
          <w:lang w:val="en-US" w:eastAsia="zh-CN"/>
        </w:rPr>
        <w:t>2轮以上的交叉巡察</w:t>
      </w:r>
      <w:r>
        <w:rPr>
          <w:rFonts w:hint="eastAsia" w:ascii="仿宋_GB2312" w:hAnsi="仿宋_GB2312" w:eastAsia="仿宋_GB2312" w:cs="仿宋_GB2312"/>
          <w:sz w:val="32"/>
          <w:szCs w:val="32"/>
        </w:rPr>
        <w:t>。</w:t>
      </w:r>
      <w:r>
        <w:rPr>
          <w:rFonts w:hint="eastAsia" w:ascii="仿宋" w:hAnsi="仿宋" w:eastAsia="仿宋" w:cs="仿宋"/>
          <w:color w:val="000000"/>
          <w:kern w:val="0"/>
          <w:sz w:val="32"/>
          <w:szCs w:val="32"/>
          <w:shd w:val="clear" w:color="auto" w:fill="FFFFFF"/>
        </w:rPr>
        <w:t>项目指标值达到年初制定的绩效目标，</w:t>
      </w:r>
      <w:r>
        <w:rPr>
          <w:rFonts w:hint="eastAsia" w:ascii="仿宋" w:hAnsi="仿宋" w:eastAsia="仿宋" w:cs="仿宋"/>
          <w:color w:val="000000"/>
          <w:kern w:val="0"/>
          <w:sz w:val="32"/>
          <w:szCs w:val="32"/>
          <w:shd w:val="clear" w:color="auto" w:fill="FFFFFF"/>
          <w:lang w:eastAsia="zh-CN"/>
        </w:rPr>
        <w:t>资金使用有效支撑了项目质量，</w:t>
      </w:r>
      <w:r>
        <w:rPr>
          <w:rFonts w:hint="eastAsia" w:ascii="仿宋" w:hAnsi="仿宋" w:eastAsia="仿宋" w:cs="仿宋"/>
          <w:color w:val="000000"/>
          <w:kern w:val="0"/>
          <w:sz w:val="32"/>
          <w:szCs w:val="32"/>
          <w:shd w:val="clear" w:color="auto" w:fill="FFFFFF"/>
        </w:rPr>
        <w:t>社会效益</w:t>
      </w:r>
      <w:r>
        <w:rPr>
          <w:rFonts w:hint="eastAsia" w:ascii="仿宋" w:hAnsi="仿宋" w:eastAsia="仿宋" w:cs="仿宋"/>
          <w:color w:val="000000"/>
          <w:kern w:val="0"/>
          <w:sz w:val="32"/>
          <w:szCs w:val="32"/>
          <w:shd w:val="clear" w:color="auto" w:fill="FFFFFF"/>
          <w:lang w:eastAsia="zh-CN"/>
        </w:rPr>
        <w:t>良好</w:t>
      </w:r>
      <w:r>
        <w:rPr>
          <w:rFonts w:hint="eastAsia" w:ascii="仿宋" w:hAnsi="仿宋" w:eastAsia="仿宋" w:cs="仿宋"/>
          <w:color w:val="000000"/>
          <w:kern w:val="0"/>
          <w:sz w:val="32"/>
          <w:szCs w:val="32"/>
          <w:shd w:val="clear" w:color="auto" w:fill="FFFFFF"/>
        </w:rPr>
        <w:t>。</w:t>
      </w:r>
    </w:p>
    <w:p>
      <w:pPr>
        <w:numPr>
          <w:numId w:val="0"/>
        </w:numPr>
        <w:adjustRightInd w:val="0"/>
        <w:snapToGrid w:val="0"/>
        <w:spacing w:line="600" w:lineRule="exact"/>
        <w:rPr>
          <w:rFonts w:hint="eastAsia" w:ascii="仿宋" w:hAnsi="仿宋" w:eastAsia="仿宋" w:cs="仿宋"/>
          <w:color w:val="000000"/>
          <w:kern w:val="0"/>
          <w:sz w:val="32"/>
          <w:szCs w:val="32"/>
          <w:shd w:val="clear" w:color="auto" w:fill="FFFFFF"/>
        </w:rPr>
      </w:pPr>
    </w:p>
    <w:tbl>
      <w:tblPr>
        <w:tblW w:w="9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23"/>
        <w:gridCol w:w="691"/>
        <w:gridCol w:w="818"/>
        <w:gridCol w:w="742"/>
        <w:gridCol w:w="742"/>
        <w:gridCol w:w="931"/>
        <w:gridCol w:w="862"/>
        <w:gridCol w:w="1142"/>
        <w:gridCol w:w="1204"/>
        <w:gridCol w:w="523"/>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9338" w:type="dxa"/>
            <w:gridSpan w:val="11"/>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（2020年度）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7306"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新乐市委巡察办专项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主管部门及代码</w:t>
            </w:r>
          </w:p>
        </w:tc>
        <w:tc>
          <w:tcPr>
            <w:tcW w:w="241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新乐纪委　222002</w:t>
            </w:r>
          </w:p>
        </w:tc>
        <w:tc>
          <w:tcPr>
            <w:tcW w:w="862"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4029" w:type="dxa"/>
            <w:gridSpan w:val="4"/>
            <w:tcBorders>
              <w:top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新乐市纪委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2032"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484"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（B/A）</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3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81.66</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80.57</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r>
              <w:rPr>
                <w:rFonts w:hint="default" w:ascii="宋体" w:hAnsi="宋体" w:eastAsia="宋体" w:cs="宋体"/>
                <w:i w:val="0"/>
                <w:color w:val="000000"/>
                <w:kern w:val="0"/>
                <w:sz w:val="18"/>
                <w:szCs w:val="18"/>
                <w:u w:val="none"/>
                <w:lang w:val="en-US" w:eastAsia="zh-CN" w:bidi="ar"/>
              </w:rPr>
              <w:t>9</w:t>
            </w:r>
          </w:p>
        </w:tc>
        <w:tc>
          <w:tcPr>
            <w:tcW w:w="1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执行率*该指标分值，最高不得超过分值上限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03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其中：本年一般公共预算拨款</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81.66</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default" w:ascii="宋体" w:hAnsi="宋体" w:eastAsia="宋体" w:cs="宋体"/>
                <w:i w:val="0"/>
                <w:color w:val="000000"/>
                <w:kern w:val="0"/>
                <w:sz w:val="18"/>
                <w:szCs w:val="18"/>
                <w:u w:val="none"/>
                <w:lang w:val="en-US" w:eastAsia="zh-CN" w:bidi="ar"/>
              </w:rPr>
              <w:t>80.57</w:t>
            </w: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03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148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20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bookmarkStart w:id="0" w:name="_GoBack"/>
            <w:bookmarkEnd w:id="0"/>
          </w:p>
        </w:tc>
        <w:tc>
          <w:tcPr>
            <w:tcW w:w="1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体目标</w:t>
            </w:r>
          </w:p>
        </w:tc>
        <w:tc>
          <w:tcPr>
            <w:tcW w:w="3924"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完成专项巡察指标，实现巡察全覆盖</w:t>
            </w:r>
          </w:p>
        </w:tc>
        <w:tc>
          <w:tcPr>
            <w:tcW w:w="489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本年度完成村级巡察100个行政村，18个市直单位，6个乡镇（街道）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3924"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89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（A）</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（B）</w:t>
            </w:r>
          </w:p>
        </w:tc>
        <w:tc>
          <w:tcPr>
            <w:tcW w:w="23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得分计算方法</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（50分）</w:t>
            </w: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覆盖率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4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完成值达到指标值，记满分；未达到指标值，按B/A或A/B*该指标分值记分。</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完整性</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合格率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4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1.若为定性指标，则根据“三档”原则分别按照指标分值的100-80%（含80%）、80-50%（含50%）、50%-0来记分。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2.若为定量指标，完成值达到指标值，记满分；未达到指标值，按B/A或A/B*该指标分值记分。</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结案率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完成及时性</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w:t>
            </w: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成本合理</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（30分）</w:t>
            </w: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经济合理</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w:t>
            </w:r>
          </w:p>
        </w:tc>
        <w:tc>
          <w:tcPr>
            <w:tcW w:w="234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1.若为定性指标，则根据“三档”原则分别按照指标分值的100-80%（含80%）、80-50%（含50%）、50%-0来记分。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2.若为定量指标，完成值达到指标值，记满分；未达到指标值，按B/A或A/B*该指标分值记分。</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保障机关正常运转</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好</w:t>
            </w: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益指标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响指标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可持续使用</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81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满意度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工作人员满意度</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2346"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同效益指标得分计算方式。</w:t>
            </w: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8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2346" w:type="dxa"/>
            <w:gridSpan w:val="2"/>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2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178"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1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38" w:type="dxa"/>
            <w:gridSpan w:val="11"/>
            <w:vMerge w:val="restart"/>
            <w:tcBorders>
              <w:top w:val="single" w:color="000000" w:sz="4" w:space="0"/>
            </w:tcBorders>
            <w:shd w:val="cle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注：1.得分一档最高不能超过该指标分值上限。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2.定性指标根据指标完成情况分为：达成预期目标、部分达成预期指标并具有一定效果、未达成预期指标且效果较差三档，分别按照该指标对应分值区间100-80%（含80%）、80-50%（含50%）、50%-0合理确定分值。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3.定量指标若为正向指标（即指标值为≥*），则得分计算方法应用全年实际值（B）/年度指标值（A）*该指标分值；若定量指标为反向指标（即指标值为≤*），则得分计算方法应用年度指标值（A）/全年实际值（B）*该指标分值。</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4.请在“未完成原因分析”一栏中简要说明偏离目标、不能完成目标的原因及今后改进的措施。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9338"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338"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9338" w:type="dxa"/>
            <w:gridSpan w:val="11"/>
            <w:vMerge w:val="continue"/>
            <w:tcBorders>
              <w:top w:val="single" w:color="000000" w:sz="4" w:space="0"/>
            </w:tcBorders>
            <w:shd w:val="clear"/>
            <w:vAlign w:val="top"/>
          </w:tcPr>
          <w:p>
            <w:pPr>
              <w:jc w:val="left"/>
              <w:rPr>
                <w:rFonts w:hint="eastAsia" w:ascii="宋体" w:hAnsi="宋体" w:eastAsia="宋体" w:cs="宋体"/>
                <w:i w:val="0"/>
                <w:color w:val="000000"/>
                <w:sz w:val="18"/>
                <w:szCs w:val="18"/>
                <w:u w:val="none"/>
              </w:rPr>
            </w:pPr>
          </w:p>
        </w:tc>
      </w:tr>
    </w:tbl>
    <w:p>
      <w:pPr>
        <w:numPr>
          <w:numId w:val="0"/>
        </w:numPr>
        <w:adjustRightInd w:val="0"/>
        <w:snapToGrid w:val="0"/>
        <w:spacing w:line="600" w:lineRule="exact"/>
        <w:rPr>
          <w:rFonts w:hint="eastAsia" w:ascii="仿宋" w:hAnsi="仿宋" w:eastAsia="仿宋" w:cs="仿宋"/>
          <w:color w:val="000000"/>
          <w:kern w:val="0"/>
          <w:sz w:val="32"/>
          <w:szCs w:val="32"/>
          <w:shd w:val="clear" w:color="auto" w:fill="FFFFFF"/>
        </w:rPr>
      </w:pP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193.55</w:t>
      </w:r>
      <w:r>
        <w:rPr>
          <w:rFonts w:hint="eastAsia" w:ascii="仿宋_GB2312" w:hAnsi="仿宋_GB2312" w:eastAsia="仿宋_GB2312" w:cs="仿宋_GB2312"/>
          <w:sz w:val="32"/>
          <w:szCs w:val="32"/>
        </w:rPr>
        <w:t>万元，比2019年度增加</w:t>
      </w:r>
      <w:r>
        <w:rPr>
          <w:rFonts w:hint="eastAsia" w:ascii="仿宋_GB2312" w:hAnsi="仿宋_GB2312" w:eastAsia="仿宋_GB2312" w:cs="仿宋_GB2312"/>
          <w:sz w:val="32"/>
          <w:szCs w:val="32"/>
          <w:lang w:val="en-US" w:eastAsia="zh-CN"/>
        </w:rPr>
        <w:t>187.2</w:t>
      </w:r>
      <w:r>
        <w:rPr>
          <w:rFonts w:hint="eastAsia" w:ascii="仿宋_GB2312" w:hAnsi="仿宋_GB2312" w:eastAsia="仿宋_GB2312" w:cs="仿宋_GB2312"/>
          <w:sz w:val="32"/>
          <w:szCs w:val="32"/>
        </w:rPr>
        <w:t>万元，增长</w:t>
      </w:r>
      <w:r>
        <w:rPr>
          <w:rFonts w:hint="default" w:ascii="仿宋_GB2312" w:hAnsi="仿宋_GB2312" w:eastAsia="仿宋_GB2312" w:cs="仿宋_GB2312"/>
          <w:sz w:val="32"/>
          <w:szCs w:val="32"/>
          <w:lang w:val="en-US"/>
        </w:rPr>
        <w:t>2948.03</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大部分机关运行经费支出列在项目支出</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43.2</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43.2</w:t>
      </w:r>
      <w:r>
        <w:rPr>
          <w:rFonts w:hint="eastAsia"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w:t>
      </w:r>
      <w:r>
        <w:rPr>
          <w:rFonts w:hint="default" w:ascii="仿宋_GB2312" w:hAnsi="仿宋_GB2312" w:eastAsia="仿宋_GB2312" w:cs="仿宋_GB2312"/>
          <w:sz w:val="32"/>
          <w:szCs w:val="32"/>
          <w:lang w:val="en-US"/>
        </w:rPr>
        <w:t>9</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其中，副部（省）级及以上领导用车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辆，执法执勤用车辆，特种专业技术用车辆，离退休干部用车辆，其他用车辆，其他用车主要是</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无变化</w:t>
      </w:r>
      <w:r>
        <w:rPr>
          <w:rFonts w:hint="eastAsia" w:ascii="仿宋_GB2312" w:hAnsi="仿宋_GB2312" w:eastAsia="仿宋_GB2312" w:cs="仿宋_GB2312"/>
          <w:sz w:val="32"/>
          <w:szCs w:val="32"/>
        </w:rPr>
        <w:t>，单位价值100万元以上专用设备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无变化。</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w:t>
      </w:r>
      <w:r>
        <w:rPr>
          <w:rFonts w:hint="eastAsia" w:ascii="仿宋_GB2312" w:hAnsi="仿宋_GB2312" w:eastAsia="仿宋_GB2312" w:cs="仿宋_GB2312"/>
          <w:sz w:val="32"/>
          <w:szCs w:val="32"/>
          <w:lang w:eastAsia="zh-CN"/>
        </w:rPr>
        <w:t>政府性基金预算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国有资金经营预算</w:t>
      </w:r>
      <w:r>
        <w:rPr>
          <w:rFonts w:hint="eastAsia" w:ascii="仿宋_GB2312" w:hAnsi="仿宋_GB2312" w:eastAsia="仿宋_GB2312" w:cs="仿宋_GB2312"/>
          <w:sz w:val="32"/>
          <w:szCs w:val="32"/>
        </w:rPr>
        <w:t>收支及结转结余情况，故</w:t>
      </w:r>
      <w:r>
        <w:rPr>
          <w:rFonts w:hint="eastAsia" w:ascii="仿宋" w:hAnsi="仿宋" w:eastAsia="仿宋" w:cs="仿宋"/>
          <w:color w:val="000000"/>
          <w:kern w:val="0"/>
          <w:sz w:val="32"/>
          <w:szCs w:val="32"/>
          <w:shd w:val="clear" w:color="auto" w:fill="FFFFFF"/>
        </w:rPr>
        <w:t>政府性基金预算财政收入支出决算表</w:t>
      </w:r>
      <w:r>
        <w:rPr>
          <w:rFonts w:hint="eastAsia" w:ascii="仿宋_GB2312" w:hAnsi="仿宋_GB2312" w:eastAsia="仿宋_GB2312" w:cs="仿宋_GB2312"/>
          <w:sz w:val="32"/>
          <w:szCs w:val="32"/>
        </w:rPr>
        <w:t>、</w:t>
      </w:r>
      <w:r>
        <w:rPr>
          <w:rFonts w:hint="eastAsia" w:ascii="仿宋" w:hAnsi="仿宋" w:eastAsia="仿宋" w:cs="仿宋"/>
          <w:color w:val="000000"/>
          <w:kern w:val="0"/>
          <w:sz w:val="32"/>
          <w:szCs w:val="32"/>
          <w:shd w:val="clear" w:color="auto" w:fill="FFFFFF"/>
        </w:rPr>
        <w:t>国有资本经营预算财政拨款支出决算表</w:t>
      </w:r>
      <w:r>
        <w:rPr>
          <w:rFonts w:hint="eastAsia" w:ascii="仿宋_GB2312" w:hAnsi="仿宋_GB2312" w:eastAsia="仿宋_GB2312" w:cs="仿宋_GB2312"/>
          <w:sz w:val="32"/>
          <w:szCs w:val="32"/>
        </w:rPr>
        <w:t>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56192"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56192;v-text-anchor:middle;mso-width-relative:page;mso-height-relative:page;" fillcolor="#7F7F7F [1612]" filled="t" stroked="t" coordsize="21600,21600" o:gfxdata="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Gzv72AAAAAsBAAAPAAAAAAAAAAEAIAAAACIAAABkcnMvZG93bnJldi54&#10;bWxQSwECFAAUAAAACACHTuJA+DKZGGwCAAD+BAAADgAAAAAAAAABACAAAAAnAQAAZHJzL2Uyb0Rv&#10;Yy54bWxQSwUGAAAAAAYABgBZAQAABQYAAAAA&#10;">
                <v:fill type="pattern" on="t" color2="#FFFFFF [3212]"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pPr>
      <w:r>
        <w:rPr>
          <w:sz w:val="72"/>
        </w:rPr>
        <mc:AlternateContent>
          <mc:Choice Requires="wps">
            <w:drawing>
              <wp:anchor distT="0" distB="0" distL="114300" distR="114300" simplePos="0" relativeHeight="251661312"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1312;v-text-anchor:middle;mso-width-relative:page;mso-height-relative:page;" fillcolor="#7F7F7F" filled="t" stroked="t" coordsize="21600,21600" o:gfxdata="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cevmzcAAAA&#10;DQEAAA8AAAAAAAAAAQAgAAAAIgAAAGRycy9kb3ducmV2LnhtbFBLAQIUABQAAAAIAIdO4kDLXY5P&#10;iwIAAFsFAAAOAAAAAAAAAAEAIAAAACsBAABkcnMvZTJvRG9jLnhtbFBLBQYAAAAABgAGAFkBAAAo&#10;BgAAAAA=&#10;">
                <v:fill type="pattern" on="t" color2="#FFFFFF"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pPr/>
                    </w:p>
                  </w:txbxContent>
                </v:textbox>
              </v:shape>
            </w:pict>
          </mc:Fallback>
        </mc:AlternateConten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jc w:val="left"/>
        <w:rPr>
          <w:rFonts w:hint="eastAsia" w:ascii="仿宋_GB2312" w:hAnsi="Cambria" w:eastAsia="仿宋_GB2312" w:cs="Arial Black"/>
          <w:kern w:val="0"/>
          <w:sz w:val="32"/>
          <w:szCs w:val="32"/>
          <w:lang w:eastAsia="zh-CN"/>
        </w:rPr>
      </w:pPr>
    </w:p>
    <w:p>
      <w:pPr>
        <w:tabs>
          <w:tab w:val="left" w:pos="235"/>
        </w:tabs>
        <w:spacing w:line="600" w:lineRule="exact"/>
        <w:jc w:val="left"/>
        <w:rPr>
          <w:rFonts w:ascii="仿宋_GB2312" w:hAnsi="Cambria" w:eastAsia="仿宋_GB2312" w:cs="Arial Black"/>
          <w:kern w:val="0"/>
          <w:sz w:val="32"/>
          <w:szCs w:val="32"/>
        </w:rPr>
      </w:pPr>
      <w:r>
        <w:rPr>
          <w:rFonts w:hint="eastAsia" w:ascii="仿宋_GB2312" w:hAnsi="Cambria" w:eastAsia="仿宋_GB2312" w:cs="Arial Black"/>
          <w:kern w:val="0"/>
          <w:sz w:val="32"/>
          <w:szCs w:val="32"/>
          <w:lang w:eastAsia="zh-CN"/>
        </w:rPr>
        <w:t>详见附表</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黑体">
    <w:altName w:val="宋体"/>
    <w:panose1 w:val="02010600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Mongolian Baiti">
    <w:panose1 w:val="03000500000000000000"/>
    <w:charset w:val="00"/>
    <w:family w:val="script"/>
    <w:pitch w:val="default"/>
    <w:sig w:usb0="80000023" w:usb1="00000000" w:usb2="00020000" w:usb3="00000000" w:csb0="00000001" w:csb1="00000000"/>
  </w:font>
  <w:font w:name="Comic Sans MS">
    <w:panose1 w:val="030F0702030302020204"/>
    <w:charset w:val="00"/>
    <w:family w:val="script"/>
    <w:pitch w:val="default"/>
    <w:sig w:usb0="00000287" w:usb1="00000000" w:usb2="00000000" w:usb3="00000000" w:csb0="2000009F" w:csb1="00000000"/>
  </w:font>
  <w:font w:name="MS UI Gothic">
    <w:altName w:val="Meiryo UI"/>
    <w:panose1 w:val="020B0600070205080204"/>
    <w:charset w:val="80"/>
    <w:family w:val="swiss"/>
    <w:pitch w:val="default"/>
    <w:sig w:usb0="00000000" w:usb1="00000000" w:usb2="00000010" w:usb3="00000000" w:csb0="000200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Arial Black">
    <w:panose1 w:val="020B0A04020102020204"/>
    <w:charset w:val="00"/>
    <w:family w:val="decorative"/>
    <w:pitch w:val="default"/>
    <w:sig w:usb0="00000287" w:usb1="00000000" w:usb2="00000000" w:usb3="00000000" w:csb0="2000009F" w:csb1="DFD70000"/>
  </w:font>
  <w:font w:name="MS UI Gothic">
    <w:altName w:val="Meiryo UI"/>
    <w:panose1 w:val="020B0600070205080204"/>
    <w:charset w:val="80"/>
    <w:family w:val="decorative"/>
    <w:pitch w:val="default"/>
    <w:sig w:usb0="00000000" w:usb1="00000000" w:usb2="00000010" w:usb3="00000000" w:csb0="0002009F" w:csb1="00000000"/>
  </w:font>
  <w:font w:name="Arial">
    <w:panose1 w:val="020B0604020202020204"/>
    <w:charset w:val="00"/>
    <w:family w:val="decorative"/>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思源黑体 HW Bold">
    <w:altName w:val="宋体"/>
    <w:panose1 w:val="00000000000000000000"/>
    <w:charset w:val="86"/>
    <w:family w:val="decorative"/>
    <w:pitch w:val="default"/>
    <w:sig w:usb0="00000000" w:usb1="00000000" w:usb2="00000010" w:usb3="00000000" w:csb0="00040000" w:csb1="00000000"/>
  </w:font>
  <w:font w:name="Yu Gothic UI Semibold">
    <w:altName w:val="Meiryo UI"/>
    <w:panose1 w:val="020B0700000000000000"/>
    <w:charset w:val="80"/>
    <w:family w:val="decorative"/>
    <w:pitch w:val="default"/>
    <w:sig w:usb0="00000000" w:usb1="00000000" w:usb2="00000016" w:usb3="00000000" w:csb0="2002009F" w:csb1="00000000"/>
  </w:font>
  <w:font w:name="ArialUnicodeMS">
    <w:altName w:val="Times New Roman"/>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decorative"/>
    <w:pitch w:val="default"/>
    <w:sig w:usb0="00000000" w:usb1="00000000" w:usb2="00000000" w:usb3="00000000" w:csb0="00000001" w:csb1="00000000"/>
  </w:font>
  <w:font w:name="MS-UIGothic,Bold">
    <w:altName w:val="Times New Roman"/>
    <w:panose1 w:val="00000000000000000000"/>
    <w:charset w:val="81"/>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Malgun Gothic">
    <w:altName w:val="Times New Roman"/>
    <w:panose1 w:val="020B0503020000020004"/>
    <w:charset w:val="81"/>
    <w:family w:val="auto"/>
    <w:pitch w:val="default"/>
    <w:sig w:usb0="00000000" w:usb1="00000000" w:usb2="00000012" w:usb3="00000000" w:csb0="00080001" w:csb1="00000000"/>
  </w:font>
  <w:font w:name="微软雅黑 Light">
    <w:altName w:val="宋体"/>
    <w:panose1 w:val="020B0502040204020203"/>
    <w:charset w:val="86"/>
    <w:family w:val="auto"/>
    <w:pitch w:val="default"/>
    <w:sig w:usb0="00000000" w:usb1="00000000" w:usb2="00000016" w:usb3="00000000" w:csb0="0004001F" w:csb1="00000000"/>
  </w:font>
  <w:font w:name="Meiryo UI">
    <w:panose1 w:val="020B0604030504040204"/>
    <w:charset w:val="80"/>
    <w:family w:val="decorative"/>
    <w:pitch w:val="default"/>
    <w:sig w:usb0="E10102FF" w:usb1="EAC7FFFF" w:usb2="00010012" w:usb3="00000000" w:csb0="6002009F" w:csb1="DFD70000"/>
  </w:font>
  <w:font w:name="黑体">
    <w:altName w:val="宋体"/>
    <w:panose1 w:val="02010600030101010101"/>
    <w:charset w:val="86"/>
    <w:family w:val="modern"/>
    <w:pitch w:val="default"/>
    <w:sig w:usb0="00000000" w:usb1="00000000" w:usb2="00000010" w:usb3="00000000" w:csb0="00040001" w:csb1="00000000"/>
  </w:font>
  <w:font w:name="FangSong_GB2312">
    <w:altName w:val="仿宋"/>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楷体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decorative"/>
    <w:pitch w:val="default"/>
    <w:sig w:usb0="00000000" w:usb1="00000000" w:usb2="00000000" w:usb3="00000000" w:csb0="0000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MS UI Gothic">
    <w:altName w:val="Meiryo UI"/>
    <w:panose1 w:val="020B0600070205080204"/>
    <w:charset w:val="80"/>
    <w:family w:val="roman"/>
    <w:pitch w:val="default"/>
    <w:sig w:usb0="00000000" w:usb1="00000000" w:usb2="00000010" w:usb3="00000000" w:csb0="0002009F" w:csb1="00000000"/>
  </w:font>
  <w:font w:name="Arial">
    <w:panose1 w:val="020B0604020202020204"/>
    <w:charset w:val="00"/>
    <w:family w:val="roma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思源黑体 HW Bold">
    <w:altName w:val="宋体"/>
    <w:panose1 w:val="00000000000000000000"/>
    <w:charset w:val="86"/>
    <w:family w:val="roman"/>
    <w:pitch w:val="default"/>
    <w:sig w:usb0="00000000" w:usb1="00000000" w:usb2="00000010" w:usb3="00000000" w:csb0="00040000" w:csb1="00000000"/>
  </w:font>
  <w:font w:name="Yu Gothic UI Semibold">
    <w:altName w:val="Meiryo UI"/>
    <w:panose1 w:val="020B0700000000000000"/>
    <w:charset w:val="80"/>
    <w:family w:val="roman"/>
    <w:pitch w:val="default"/>
    <w:sig w:usb0="00000000" w:usb1="00000000" w:usb2="00000016" w:usb3="00000000" w:csb0="2002009F" w:csb1="00000000"/>
  </w:font>
  <w:font w:name="TimesNewRomanPSMT">
    <w:altName w:val="Arial"/>
    <w:panose1 w:val="00000000000000000000"/>
    <w:charset w:val="00"/>
    <w:family w:val="roman"/>
    <w:pitch w:val="default"/>
    <w:sig w:usb0="00000000" w:usb1="00000000" w:usb2="00000000" w:usb3="00000000" w:csb0="00000001" w:csb1="00000000"/>
  </w:font>
  <w:font w:name="Meiryo UI">
    <w:panose1 w:val="020B0604030504040204"/>
    <w:charset w:val="80"/>
    <w:family w:val="roman"/>
    <w:pitch w:val="default"/>
    <w:sig w:usb0="E10102FF" w:usb1="EAC7FFFF" w:usb2="00010012" w:usb3="00000000" w:csb0="6002009F" w:csb1="DFD70000"/>
  </w:font>
  <w:font w:name="黑体">
    <w:altName w:val="宋体"/>
    <w:panose1 w:val="02010600030101010101"/>
    <w:charset w:val="86"/>
    <w:family w:val="swiss"/>
    <w:pitch w:val="default"/>
    <w:sig w:usb0="00000000" w:usb1="00000000" w:usb2="00000010" w:usb3="00000000" w:csb0="00040001" w:csb1="00000000"/>
  </w:font>
  <w:font w:name="FangSong_GB2312">
    <w:altName w:val="仿宋"/>
    <w:panose1 w:val="00000000000000000000"/>
    <w:charset w:val="00"/>
    <w:family w:val="modern"/>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MS UI Gothic">
    <w:altName w:val="Meiryo UI"/>
    <w:panose1 w:val="020B0600070205080204"/>
    <w:charset w:val="80"/>
    <w:family w:val="modern"/>
    <w:pitch w:val="default"/>
    <w:sig w:usb0="00000000" w:usb1="00000000" w:usb2="00000010" w:usb3="00000000" w:csb0="0002009F" w:csb1="00000000"/>
  </w:font>
  <w:font w:name="Arial">
    <w:panose1 w:val="020B0604020202020204"/>
    <w:charset w:val="00"/>
    <w:family w:val="modern"/>
    <w:pitch w:val="default"/>
    <w:sig w:usb0="E0002AFF" w:usb1="C0007843" w:usb2="00000009" w:usb3="00000000" w:csb0="400001FF" w:csb1="FFFF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思源黑体 HW Bold">
    <w:altName w:val="宋体"/>
    <w:panose1 w:val="00000000000000000000"/>
    <w:charset w:val="86"/>
    <w:family w:val="modern"/>
    <w:pitch w:val="default"/>
    <w:sig w:usb0="00000000" w:usb1="00000000" w:usb2="00000010" w:usb3="00000000" w:csb0="00040000" w:csb1="00000000"/>
  </w:font>
  <w:font w:name="Yu Gothic UI Semibold">
    <w:altName w:val="Meiryo UI"/>
    <w:panose1 w:val="020B0700000000000000"/>
    <w:charset w:val="80"/>
    <w:family w:val="modern"/>
    <w:pitch w:val="default"/>
    <w:sig w:usb0="00000000" w:usb1="00000000" w:usb2="00000016" w:usb3="00000000" w:csb0="2002009F" w:csb1="00000000"/>
  </w:font>
  <w:font w:name="TimesNewRomanPSMT">
    <w:altName w:val="Arial"/>
    <w:panose1 w:val="00000000000000000000"/>
    <w:charset w:val="00"/>
    <w:family w:val="modern"/>
    <w:pitch w:val="default"/>
    <w:sig w:usb0="00000000" w:usb1="00000000" w:usb2="00000000" w:usb3="00000000" w:csb0="00000001" w:csb1="00000000"/>
  </w:font>
  <w:font w:name="Meiryo UI">
    <w:panose1 w:val="020B0604030504040204"/>
    <w:charset w:val="80"/>
    <w:family w:val="modern"/>
    <w:pitch w:val="default"/>
    <w:sig w:usb0="E10102FF" w:usb1="EAC7FFFF" w:usb2="00010012" w:usb3="00000000" w:csb0="6002009F" w:csb1="DFD70000"/>
  </w:font>
  <w:font w:name="黑体">
    <w:altName w:val="宋体"/>
    <w:panose1 w:val="02010600030101010101"/>
    <w:charset w:val="86"/>
    <w:family w:val="decorative"/>
    <w:pitch w:val="default"/>
    <w:sig w:usb0="00000000" w:usb1="00000000" w:usb2="00000010" w:usb3="00000000" w:csb0="00040001" w:csb1="00000000"/>
  </w:font>
  <w:font w:name="FangSong_GB2312">
    <w:altName w:val="仿宋"/>
    <w:panose1 w:val="00000000000000000000"/>
    <w:charset w:val="00"/>
    <w:family w:val="swiss"/>
    <w:pitch w:val="default"/>
    <w:sig w:usb0="00000000" w:usb1="00000000" w:usb2="00000000" w:usb3="00000000" w:csb0="00000001" w:csb1="00000000"/>
  </w:font>
  <w:font w:name="思源黑体 HW Bold">
    <w:altName w:val="宋体"/>
    <w:panose1 w:val="00000000000000000000"/>
    <w:charset w:val="86"/>
    <w:family w:val="swiss"/>
    <w:pitch w:val="default"/>
    <w:sig w:usb0="00000000" w:usb1="00000000" w:usb2="0000001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TimesNewRomanPSMT">
    <w:altName w:val="Arial"/>
    <w:panose1 w:val="00000000000000000000"/>
    <w:charset w:val="00"/>
    <w:family w:val="swiss"/>
    <w:pitch w:val="default"/>
    <w:sig w:usb0="00000000" w:usb1="00000000" w:usb2="00000000" w:usb3="00000000" w:csb0="00000001" w:csb1="00000000"/>
  </w:font>
  <w:font w:name="Meiryo UI">
    <w:panose1 w:val="020B0604030504040204"/>
    <w:charset w:val="80"/>
    <w:family w:val="swiss"/>
    <w:pitch w:val="default"/>
    <w:sig w:usb0="E10102FF" w:usb1="EAC7FFFF" w:usb2="00010012" w:usb3="00000000" w:csb0="6002009F" w:csb1="DFD70000"/>
  </w:font>
  <w:font w:name="黑体">
    <w:altName w:val="宋体"/>
    <w:panose1 w:val="02010600030101010101"/>
    <w:charset w:val="86"/>
    <w:family w:val="roman"/>
    <w:pitch w:val="default"/>
    <w:sig w:usb0="00000000" w:usb1="00000000" w:usb2="00000010" w:usb3="00000000" w:csb0="00040001" w:csb1="00000000"/>
  </w:font>
  <w:font w:name="FangSong_GB2312">
    <w:altName w:val="仿宋"/>
    <w:panose1 w:val="00000000000000000000"/>
    <w:charset w:val="00"/>
    <w:family w:val="decorative"/>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6076026">
    <w:nsid w:val="5F222FFA"/>
    <w:multiLevelType w:val="singleLevel"/>
    <w:tmpl w:val="5F222FFA"/>
    <w:lvl w:ilvl="0" w:tentative="1">
      <w:start w:val="1"/>
      <w:numFmt w:val="decimal"/>
      <w:suff w:val="nothing"/>
      <w:lvlText w:val="（%1）"/>
      <w:lvlJc w:val="left"/>
    </w:lvl>
  </w:abstractNum>
  <w:abstractNum w:abstractNumId="1172019847">
    <w:nsid w:val="45DB9A87"/>
    <w:multiLevelType w:val="singleLevel"/>
    <w:tmpl w:val="45DB9A87"/>
    <w:lvl w:ilvl="0" w:tentative="1">
      <w:start w:val="3"/>
      <w:numFmt w:val="chineseCounting"/>
      <w:suff w:val="nothing"/>
      <w:lvlText w:val="（%1）"/>
      <w:lvlJc w:val="left"/>
      <w:rPr>
        <w:rFonts w:hint="eastAsia"/>
      </w:rPr>
    </w:lvl>
  </w:abstractNum>
  <w:num w:numId="1">
    <w:abstractNumId w:val="1172019847"/>
  </w:num>
  <w:num w:numId="2">
    <w:abstractNumId w:val="15960760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B73D2"/>
    <w:rsid w:val="001E62BF"/>
    <w:rsid w:val="0027064E"/>
    <w:rsid w:val="00293E7B"/>
    <w:rsid w:val="002D1F4F"/>
    <w:rsid w:val="002E167A"/>
    <w:rsid w:val="002F1DA9"/>
    <w:rsid w:val="00310EBF"/>
    <w:rsid w:val="00366D90"/>
    <w:rsid w:val="003D2226"/>
    <w:rsid w:val="003D678E"/>
    <w:rsid w:val="00461FAF"/>
    <w:rsid w:val="004D1EA2"/>
    <w:rsid w:val="005E0E86"/>
    <w:rsid w:val="006C01AE"/>
    <w:rsid w:val="007620A2"/>
    <w:rsid w:val="00791C72"/>
    <w:rsid w:val="007920FC"/>
    <w:rsid w:val="007B4876"/>
    <w:rsid w:val="00801F66"/>
    <w:rsid w:val="00812C39"/>
    <w:rsid w:val="009334BF"/>
    <w:rsid w:val="00995AAE"/>
    <w:rsid w:val="009D1193"/>
    <w:rsid w:val="00A61E3E"/>
    <w:rsid w:val="00B0223F"/>
    <w:rsid w:val="00BA1219"/>
    <w:rsid w:val="00BB2584"/>
    <w:rsid w:val="00BE2400"/>
    <w:rsid w:val="00E54963"/>
    <w:rsid w:val="00EB3F98"/>
    <w:rsid w:val="00F217C2"/>
    <w:rsid w:val="00FD5E00"/>
    <w:rsid w:val="01093376"/>
    <w:rsid w:val="0393071F"/>
    <w:rsid w:val="039E7A08"/>
    <w:rsid w:val="04BF5D9C"/>
    <w:rsid w:val="05C26975"/>
    <w:rsid w:val="06C43C5E"/>
    <w:rsid w:val="078A5A18"/>
    <w:rsid w:val="07BF4FFE"/>
    <w:rsid w:val="08637032"/>
    <w:rsid w:val="0B3B0D67"/>
    <w:rsid w:val="0D7B3E1B"/>
    <w:rsid w:val="0D900ED8"/>
    <w:rsid w:val="0D950EE7"/>
    <w:rsid w:val="0EA325C9"/>
    <w:rsid w:val="0EA3500E"/>
    <w:rsid w:val="0ED52E5F"/>
    <w:rsid w:val="0EE17C1A"/>
    <w:rsid w:val="0FBF0DFA"/>
    <w:rsid w:val="0FDB014E"/>
    <w:rsid w:val="130578C6"/>
    <w:rsid w:val="15D84563"/>
    <w:rsid w:val="181800A9"/>
    <w:rsid w:val="18B53A75"/>
    <w:rsid w:val="1B636A7E"/>
    <w:rsid w:val="1D2E1EB7"/>
    <w:rsid w:val="1E370811"/>
    <w:rsid w:val="21234595"/>
    <w:rsid w:val="21487448"/>
    <w:rsid w:val="22E46C89"/>
    <w:rsid w:val="28F93757"/>
    <w:rsid w:val="29747887"/>
    <w:rsid w:val="2C9A5047"/>
    <w:rsid w:val="2E182378"/>
    <w:rsid w:val="327C558B"/>
    <w:rsid w:val="32A7472E"/>
    <w:rsid w:val="33E770DF"/>
    <w:rsid w:val="34C45458"/>
    <w:rsid w:val="35C83C42"/>
    <w:rsid w:val="36C9498E"/>
    <w:rsid w:val="37445DC3"/>
    <w:rsid w:val="38ED699A"/>
    <w:rsid w:val="428929C5"/>
    <w:rsid w:val="43171059"/>
    <w:rsid w:val="432D3F21"/>
    <w:rsid w:val="44CD323F"/>
    <w:rsid w:val="45077A03"/>
    <w:rsid w:val="456029DF"/>
    <w:rsid w:val="45C86FE7"/>
    <w:rsid w:val="476C34F8"/>
    <w:rsid w:val="48AA242B"/>
    <w:rsid w:val="49973D36"/>
    <w:rsid w:val="519911E2"/>
    <w:rsid w:val="5D9D2ED7"/>
    <w:rsid w:val="60154311"/>
    <w:rsid w:val="61AB3057"/>
    <w:rsid w:val="63901721"/>
    <w:rsid w:val="641E6954"/>
    <w:rsid w:val="64920395"/>
    <w:rsid w:val="655367BE"/>
    <w:rsid w:val="67AA7791"/>
    <w:rsid w:val="67E0066A"/>
    <w:rsid w:val="68CD3E88"/>
    <w:rsid w:val="695B26FD"/>
    <w:rsid w:val="6A1870B2"/>
    <w:rsid w:val="6AF77BA8"/>
    <w:rsid w:val="6B5739B8"/>
    <w:rsid w:val="6C455ADE"/>
    <w:rsid w:val="6C646E36"/>
    <w:rsid w:val="6D110645"/>
    <w:rsid w:val="6FB72056"/>
    <w:rsid w:val="713365E7"/>
    <w:rsid w:val="73D824BD"/>
    <w:rsid w:val="74264379"/>
    <w:rsid w:val="764B3663"/>
    <w:rsid w:val="770509D5"/>
    <w:rsid w:val="782A3E6A"/>
    <w:rsid w:val="79220032"/>
    <w:rsid w:val="79AB5C4E"/>
    <w:rsid w:val="7A630113"/>
    <w:rsid w:val="7F501D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character" w:styleId="7">
    <w:name w:val="Hyperlink"/>
    <w:basedOn w:val="6"/>
    <w:qFormat/>
    <w:uiPriority w:val="0"/>
    <w:rPr>
      <w:rFonts w:cs="Times New Roman"/>
      <w:color w:val="0000FF"/>
      <w:u w:val="single"/>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6"/>
    <w:link w:val="3"/>
    <w:qFormat/>
    <w:uiPriority w:val="0"/>
    <w:rPr>
      <w:rFonts w:asciiTheme="minorHAnsi" w:hAnsiTheme="minorHAnsi" w:eastAsiaTheme="minorEastAsia" w:cstheme="minorBidi"/>
      <w:kern w:val="2"/>
      <w:sz w:val="18"/>
      <w:szCs w:val="18"/>
    </w:rPr>
  </w:style>
  <w:style w:type="paragraph" w:customStyle="1" w:styleId="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font31"/>
    <w:basedOn w:val="6"/>
    <w:qFormat/>
    <w:uiPriority w:val="0"/>
    <w:rPr>
      <w:rFonts w:hint="eastAsia" w:ascii="宋体" w:hAnsi="宋体" w:eastAsia="宋体" w:cs="宋体"/>
      <w:b/>
      <w:color w:val="000000"/>
      <w:sz w:val="32"/>
      <w:szCs w:val="32"/>
      <w:u w:val="none"/>
    </w:rPr>
  </w:style>
  <w:style w:type="character" w:customStyle="1" w:styleId="14">
    <w:name w:val="font11"/>
    <w:basedOn w:val="6"/>
    <w:qFormat/>
    <w:uiPriority w:val="0"/>
    <w:rPr>
      <w:rFonts w:hint="eastAsia" w:ascii="宋体" w:hAnsi="宋体" w:eastAsia="宋体" w:cs="宋体"/>
      <w:b/>
      <w:color w:val="000000"/>
      <w:sz w:val="40"/>
      <w:szCs w:val="40"/>
      <w:u w:val="none"/>
    </w:rPr>
  </w:style>
  <w:style w:type="character" w:customStyle="1" w:styleId="15">
    <w:name w:val="font0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emf"/><Relationship Id="rId17" Type="http://schemas.openxmlformats.org/officeDocument/2006/relationships/image" Target="media/image3.emf"/><Relationship Id="rId16" Type="http://schemas.openxmlformats.org/officeDocument/2006/relationships/oleObject" Target="embeddings/oleObject1.bin"/><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2.bmp"/><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defTabSz="914400">
              <a:defRPr lang="zh-CN" sz="1400" b="0" i="0" u="none" strike="noStrike" kern="1200" spc="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2019-2020</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年收支总计对比情况（图</a:t>
            </a:r>
            <a:r>
              <a:rPr lang="en-US" alt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1</a:t>
            </a:r>
            <a:r>
              <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rPr>
              <a:t>）</a:t>
            </a:r>
            <a:endParaRPr lang="zh-CN" altLang="en-US">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23946243127673"/>
          <c:y val="0.0879888268156425"/>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formatCode="General">
                  <c:v>1686.58</c:v>
                </c:pt>
                <c:pt idx="1" c:formatCode="General">
                  <c:v>1372.93</c:v>
                </c:pt>
              </c:numCache>
            </c:numRef>
          </c:val>
        </c:ser>
        <c:dLbls>
          <c:dLblPos val="outEnd"/>
          <c:showLegendKey val="0"/>
          <c:showVal val="1"/>
          <c:showCatName val="0"/>
          <c:showSerName val="0"/>
          <c:showPercent val="0"/>
          <c:showBubbleSize val="0"/>
        </c:dLbls>
        <c:gapWidth val="219"/>
        <c:overlap val="-27"/>
        <c:axId val="325272704"/>
        <c:axId val="325275648"/>
      </c:barChart>
      <c:catAx>
        <c:axId val="32527270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5648"/>
        <c:crosses val="autoZero"/>
        <c:auto val="1"/>
        <c:lblAlgn val="ctr"/>
        <c:lblOffset val="100"/>
        <c:tickMarkSkip val="1"/>
        <c:noMultiLvlLbl val="0"/>
      </c:catAx>
      <c:valAx>
        <c:axId val="325275648"/>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crossAx val="325272704"/>
        <c:crosses val="autoZero"/>
        <c:crossBetween val="between"/>
      </c:valAx>
      <c:spPr>
        <a:noFill/>
        <a:ln>
          <a:noFill/>
        </a:ln>
        <a:effectLst/>
      </c:spPr>
    </c:plotArea>
    <c:legend>
      <c:legendPos val="b"/>
      <c:legendEntry>
        <c:idx val="0"/>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legend>
    <c:plotVisOnly val="1"/>
    <c:dispBlanksAs val="gap"/>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latin typeface="楷体_GB2312" panose="02010609030101010101" pitchFamily="3" charset="-122"/>
          <a:ea typeface="楷体_GB2312" panose="02010609030101010101" pitchFamily="3" charset="-122"/>
          <a:cs typeface="楷体_GB2312" panose="02010609030101010101" pitchFamily="3" charset="-122"/>
          <a:sym typeface="楷体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0"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财政拨款支出决算结构图</c:v>
                </c:pt>
              </c:strCache>
            </c:strRef>
          </c:tx>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vertOverflow="ellipsis" anchor="ctr" anchorCtr="1"/>
                  <a:lstStyle/>
                  <a:p>
                    <a:pPr algn="ctr" defTabSz="914400">
                      <a:defRPr sz="900" kern="1200">
                        <a:solidFill>
                          <a:schemeClr val="tx1">
                            <a:lumMod val="75000"/>
                            <a:lumOff val="25000"/>
                          </a:schemeClr>
                        </a:solidFill>
                        <a:latin typeface="+mn-lt"/>
                        <a:ea typeface="+mn-ea"/>
                        <a:cs typeface="+mn-cs"/>
                      </a:defRPr>
                    </a:pPr>
                    <a:r>
                      <a:rPr sz="900" b="0" i="0" u="none" strike="noStrike" kern="1200" cap="none" normalizeH="0" baseline="0">
                        <a:solidFill>
                          <a:schemeClr val="tx1">
                            <a:lumMod val="75000"/>
                            <a:lumOff val="25000"/>
                          </a:schemeClr>
                        </a:solidFill>
                        <a:effectLst/>
                        <a:latin typeface="+mn-lt"/>
                        <a:ea typeface="+mn-ea"/>
                        <a:cs typeface="+mn-cs"/>
                      </a:rPr>
                      <a:t>79</a:t>
                    </a:r>
                    <a:r>
                      <a:rPr lang="en-US" altLang="zh-CN" sz="900" b="0" i="0" u="none" strike="noStrike" kern="1200" cap="none" normalizeH="0" baseline="0">
                        <a:solidFill>
                          <a:schemeClr val="tx1">
                            <a:lumMod val="75000"/>
                            <a:lumOff val="25000"/>
                          </a:schemeClr>
                        </a:solidFill>
                        <a:effectLst/>
                        <a:latin typeface="+mn-lt"/>
                        <a:ea typeface="+mn-ea"/>
                        <a:cs typeface="+mn-cs"/>
                      </a:rPr>
                      <a:t>.24</a:t>
                    </a:r>
                    <a:r>
                      <a:rPr sz="900" b="0" i="0" u="none" strike="noStrike" kern="1200" cap="none" normalizeH="0" baseline="0">
                        <a:solidFill>
                          <a:schemeClr val="tx1">
                            <a:lumMod val="75000"/>
                            <a:lumOff val="25000"/>
                          </a:schemeClr>
                        </a:solidFill>
                        <a:effectLst/>
                        <a:latin typeface="+mn-lt"/>
                        <a:ea typeface="+mn-ea"/>
                        <a:cs typeface="+mn-cs"/>
                      </a:rPr>
                      <a:t>%</a:t>
                    </a:r>
                    <a:endParaRPr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1"/>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vertOverflow="ellipsis" anchor="ctr" anchorCtr="1"/>
                  <a:lstStyle/>
                  <a:p>
                    <a:pPr algn="ctr" defTabSz="914400">
                      <a:defRPr sz="900" kern="1200">
                        <a:solidFill>
                          <a:schemeClr val="tx1">
                            <a:lumMod val="75000"/>
                            <a:lumOff val="25000"/>
                          </a:schemeClr>
                        </a:solidFill>
                        <a:latin typeface="+mn-lt"/>
                        <a:ea typeface="+mn-ea"/>
                        <a:cs typeface="+mn-cs"/>
                      </a:defRPr>
                    </a:pPr>
                    <a:r>
                      <a:rPr sz="900" b="0" i="0" u="none" strike="noStrike" kern="1200" cap="none" normalizeH="0" baseline="0">
                        <a:solidFill>
                          <a:schemeClr val="tx1">
                            <a:lumMod val="75000"/>
                            <a:lumOff val="25000"/>
                          </a:schemeClr>
                        </a:solidFill>
                        <a:effectLst/>
                        <a:latin typeface="+mn-lt"/>
                        <a:ea typeface="+mn-ea"/>
                        <a:cs typeface="+mn-cs"/>
                      </a:rPr>
                      <a:t>2</a:t>
                    </a:r>
                    <a:r>
                      <a:rPr lang="en-US" altLang="zh-CN" sz="900" b="0" i="0" u="none" strike="noStrike" kern="1200" cap="none" normalizeH="0" baseline="0">
                        <a:solidFill>
                          <a:schemeClr val="tx1">
                            <a:lumMod val="75000"/>
                            <a:lumOff val="25000"/>
                          </a:schemeClr>
                        </a:solidFill>
                        <a:effectLst/>
                        <a:latin typeface="+mn-lt"/>
                        <a:ea typeface="+mn-ea"/>
                        <a:cs typeface="+mn-cs"/>
                      </a:rPr>
                      <a:t>0.76</a:t>
                    </a:r>
                    <a:r>
                      <a:rPr sz="900" b="0" i="0" u="none" strike="noStrike" kern="1200" cap="none" normalizeH="0" baseline="0">
                        <a:solidFill>
                          <a:schemeClr val="tx1">
                            <a:lumMod val="75000"/>
                            <a:lumOff val="25000"/>
                          </a:schemeClr>
                        </a:solidFill>
                        <a:effectLst/>
                        <a:latin typeface="+mn-lt"/>
                        <a:ea typeface="+mn-ea"/>
                        <a:cs typeface="+mn-cs"/>
                      </a:rPr>
                      <a:t>%</a:t>
                    </a:r>
                    <a:endParaRPr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1"/>
              <c:dLblPos val="ctr"/>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0.7924</c:v>
                </c:pt>
                <c:pt idx="1">
                  <c:v>0.2076</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egendEntry>
        <c:idx val="2"/>
        <c:delete val="1"/>
      </c:legendEntry>
      <c:legendEntry>
        <c:idx val="3"/>
        <c:delete val="1"/>
      </c:legendEntry>
      <c:layout>
        <c:manualLayout>
          <c:xMode val="edge"/>
          <c:yMode val="edge"/>
          <c:x val="0.255545696539485"/>
          <c:y val="0.878538059906568"/>
        </c:manualLayout>
      </c:layout>
      <c:overlay val="0"/>
      <c:spPr>
        <a:noFill/>
        <a:ln>
          <a:no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34</Pages>
  <Words>1765</Words>
  <Characters>10064</Characters>
  <Lines>83</Lines>
  <Paragraphs>23</Paragraphs>
  <ScaleCrop>false</ScaleCrop>
  <LinksUpToDate>false</LinksUpToDate>
  <CharactersWithSpaces>11806</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cp:lastPrinted>2021-08-26T06:52:00Z</cp:lastPrinted>
  <dcterms:modified xsi:type="dcterms:W3CDTF">2021-09-14T08:55:11Z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65FA352BAB5146309CB066C800874C19</vt:lpwstr>
  </property>
</Properties>
</file>