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2022年部门预算信息公开目录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r>
        <w:rPr>
          <w:rFonts w:ascii="黑体" w:eastAsia="黑体" w:cs="黑体"/>
          <w:b/>
          <w:color w:val="000000"/>
          <w:sz w:val="30"/>
        </w:rPr>
        <w:t>第一部分  部门预算</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16"/>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16"/>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16"/>
        <w:tabs>
          <w:tab w:val="right" w:leader="dot" w:pos="14562"/>
        </w:tabs>
      </w:pPr>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14</w:t>
      </w:r>
      <w:r>
        <w:fldChar w:fldCharType="end"/>
      </w:r>
      <w:r>
        <w:fldChar w:fldCharType="end"/>
      </w:r>
    </w:p>
    <w:p>
      <w:pPr>
        <w:pStyle w:val="16"/>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16"/>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18</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19</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19</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19</w:t>
      </w:r>
      <w:r>
        <w:fldChar w:fldCharType="end"/>
      </w:r>
      <w:r>
        <w:fldChar w:fldCharType="end"/>
      </w:r>
    </w:p>
    <w:p>
      <w:pPr>
        <w:pStyle w:val="16"/>
        <w:tabs>
          <w:tab w:val="right" w:leader="dot" w:pos="14562"/>
        </w:tabs>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29</w:t>
      </w:r>
      <w:r>
        <w:fldChar w:fldCharType="end"/>
      </w:r>
      <w:r>
        <w:fldChar w:fldCharType="end"/>
      </w:r>
    </w:p>
    <w:p>
      <w:pPr>
        <w:pStyle w:val="16"/>
        <w:tabs>
          <w:tab w:val="right" w:leader="dot" w:pos="14562"/>
        </w:tabs>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29</w:t>
      </w:r>
      <w:r>
        <w:fldChar w:fldCharType="end"/>
      </w:r>
      <w:r>
        <w:fldChar w:fldCharType="end"/>
      </w:r>
    </w:p>
    <w:p>
      <w:pPr>
        <w:pStyle w:val="16"/>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29</w:t>
      </w:r>
      <w:r>
        <w:fldChar w:fldCharType="end"/>
      </w:r>
      <w:r>
        <w:fldChar w:fldCharType="end"/>
      </w:r>
    </w:p>
    <w:p>
      <w:pPr>
        <w:pStyle w:val="16"/>
        <w:tabs>
          <w:tab w:val="right" w:leader="dot" w:pos="14562"/>
        </w:tabs>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30</w:t>
      </w:r>
      <w:r>
        <w:fldChar w:fldCharType="end"/>
      </w:r>
      <w:r>
        <w:fldChar w:fldCharType="end"/>
      </w:r>
    </w:p>
    <w:p>
      <w:r>
        <w:fldChar w:fldCharType="end"/>
      </w:r>
    </w:p>
    <w:p>
      <w:pPr>
        <w:spacing w:before="0" w:after="0" w:line="240" w:lineRule="auto"/>
        <w:ind w:firstLine="0"/>
        <w:jc w:val="center"/>
        <w:outlineLvl w:val="9"/>
      </w:pPr>
      <w:r>
        <w:rPr>
          <w:rFonts w:ascii="黑体" w:eastAsia="黑体" w:cs="黑体"/>
          <w:b/>
          <w:color w:val="000000"/>
          <w:sz w:val="30"/>
        </w:rPr>
        <w:t>第二部分  部门所属单位预算</w:t>
      </w:r>
    </w:p>
    <w:p>
      <w:pPr>
        <w:pStyle w:val="16"/>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rPr>
          <w:b w:val="0"/>
        </w:rPr>
        <w:t>一、中国共产党新乐市纪律检查委员会本级收支预算</w:t>
      </w:r>
      <w:r>
        <w:tab/>
      </w:r>
      <w:r>
        <w:fldChar w:fldCharType="begin"/>
      </w:r>
      <w:r>
        <w:instrText>PAGEREF _Toc_4_4_0000000019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1971"/>
        <w:gridCol w:w="1971"/>
        <w:gridCol w:w="1971"/>
        <w:gridCol w:w="1971"/>
      </w:tblGrid>
      <w:tr>
        <w:trPr>
          <w:trHeight w:val="369"/>
          <w:tblHeader/>
        </w:trPr>
        <w:tc>
          <w:tcPr>
            <w:tcW w:w="3942" w:type="dxa"/>
            <w:gridSpan w:val="2"/>
            <w:tcBorders>
              <w:top w:val="single" w:sz="6" w:space="0" w:color="FFFFFF"/>
              <w:left w:val="single" w:sz="6" w:space="0" w:color="FFFFFF"/>
              <w:bottom w:val="single" w:sz="6" w:space="0" w:color="000000"/>
              <w:right w:val="single" w:sz="6" w:space="0" w:color="FFFFFF"/>
            </w:tcBorders>
            <w:noWrap/>
            <w:vAlign w:val="center"/>
          </w:tcPr>
          <w:p>
            <w:pPr>
              <w:pStyle w:val="21"/>
            </w:pPr>
            <w:r>
              <w:t>222中国共产党新乐市纪律检查委员会</w:t>
            </w:r>
          </w:p>
        </w:tc>
        <w:tc>
          <w:tcPr>
            <w:tcW w:w="1971"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942"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971"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3942"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收入</w:t>
            </w:r>
          </w:p>
        </w:tc>
        <w:tc>
          <w:tcPr>
            <w:tcW w:w="3942"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支出</w:t>
            </w:r>
          </w:p>
        </w:tc>
      </w:tr>
      <w:tr>
        <w:trPr>
          <w:trHeight w:val="369"/>
          <w:tblHeader/>
        </w:trPr>
        <w:tc>
          <w:tcPr>
            <w:tcW w:w="1971" w:type="dxa"/>
            <w:vMerge/>
            <w:tcBorders>
              <w:top w:val="single" w:sz="6" w:space="0" w:color="000000"/>
              <w:left w:val="single" w:sz="6" w:space="0" w:color="000000"/>
              <w:bottom w:val="single" w:sz="6" w:space="0" w:color="000000"/>
              <w:right w:val="single" w:sz="6" w:space="0" w:color="000000"/>
            </w:tcBorders>
            <w:noWrap/>
          </w:tc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2"/>
            </w:pPr>
            <w:r>
              <w:t>预算数</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2"/>
            </w:pPr>
            <w:r>
              <w:t>预算数</w:t>
            </w:r>
          </w:p>
        </w:tc>
      </w:tr>
      <w:tr>
        <w:trPr>
          <w:trHeight w:val="369"/>
          <w:tblHeader/>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一、一般公共预算拨款收入</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r>
              <w:t>13611126.00</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一、一般公共服务支出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二、政府性基金预算拨款收入</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二、外交支出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三、国有资本经营预算拨款收入</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三、国防支出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四、财政专户管理资金收入</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四、公共安全支出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五、事业收入</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五、教育支出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六、事业单位经营收入</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六、科学技术支出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七、上级补助收入</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七、文化旅游体育与传媒支出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八、附属单位上缴收入</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八、社会保障和就业支出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九、其他收入</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九、社会保险基金支出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十、卫生健康支出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十一、节能环保支出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十二、城乡社区支出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十三、农林水支出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十四、交通运输支出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十五、资源勘探工业信息等支出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十六、商业服务业等支出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十七、金融支出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十八、援助其他地区支出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十九、自然资源海洋气象等支出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二十、住房保障支出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21</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二十一、粮油物资储备支出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22</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二十二、国有资本经营预算支出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23</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二十三、灾害防治及应急管理支出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24</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二十四、预备费</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25</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二十五、其他支出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26</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二十六、转移性支出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27</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二十七、债务还本支出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28</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二十八、债务付息支出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29</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二十九、债务发行费用支出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30</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三十、抗疫特别国债安排的支出</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31</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6"/>
            </w:pPr>
            <w:r>
              <w:t>本年收入合计</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6"/>
            </w:pPr>
            <w:r>
              <w:t>本年支出合计</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32</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上年结转结余</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4"/>
            </w:pPr>
            <w:r>
              <w:t>年终结转结余</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5"/>
            </w:pPr>
            <w:r>
              <w:t>33</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6"/>
            </w:pPr>
            <w:r>
              <w:t>收入总计</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6"/>
            </w:pPr>
            <w:r>
              <w:t>支出总计</w:t>
            </w:r>
          </w:p>
        </w:tc>
        <w:tc>
          <w:tcPr>
            <w:tcW w:w="1971"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W w:w="9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rPr>
          <w:trHeight w:val="369"/>
          <w:tblHeader/>
        </w:trPr>
        <w:tc>
          <w:tcPr>
            <w:tcW w:w="3790" w:type="dxa"/>
            <w:gridSpan w:val="5"/>
            <w:tcBorders>
              <w:top w:val="single" w:sz="6" w:space="0" w:color="FFFFFF"/>
              <w:left w:val="single" w:sz="6" w:space="0" w:color="FFFFFF"/>
              <w:bottom w:val="single" w:sz="6" w:space="0" w:color="000000"/>
              <w:right w:val="single" w:sz="6" w:space="0" w:color="FFFFFF"/>
            </w:tcBorders>
            <w:noWrap/>
            <w:vAlign w:val="center"/>
          </w:tcPr>
          <w:p>
            <w:pPr>
              <w:pStyle w:val="21"/>
            </w:pPr>
            <w:r>
              <w:t>222中国共产党新乐市纪律检查委员会</w:t>
            </w:r>
          </w:p>
        </w:tc>
        <w:tc>
          <w:tcPr>
            <w:tcW w:w="2274" w:type="dxa"/>
            <w:gridSpan w:val="3"/>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790" w:type="dxa"/>
            <w:gridSpan w:val="5"/>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758"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1516"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功能分类科目</w:t>
            </w:r>
          </w:p>
        </w:tc>
        <w:tc>
          <w:tcPr>
            <w:tcW w:w="758"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6064" w:type="dxa"/>
            <w:gridSpan w:val="8"/>
            <w:tcBorders>
              <w:top w:val="single" w:sz="6" w:space="0" w:color="000000"/>
              <w:left w:val="single" w:sz="6" w:space="0" w:color="000000"/>
              <w:bottom w:val="single" w:sz="6" w:space="0" w:color="000000"/>
              <w:right w:val="single" w:sz="6" w:space="0" w:color="000000"/>
            </w:tcBorders>
            <w:noWrap/>
            <w:vAlign w:val="center"/>
          </w:tcPr>
          <w:p>
            <w:pPr>
              <w:pStyle w:val="22"/>
            </w:pPr>
            <w:r>
              <w:t>本年收入</w:t>
            </w:r>
          </w:p>
        </w:tc>
        <w:tc>
          <w:tcPr>
            <w:tcW w:w="758"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上年结转</w:t>
            </w:r>
          </w:p>
        </w:tc>
      </w:tr>
      <w:tr>
        <w:trPr>
          <w:trHeight w:val="369"/>
          <w:tblHeader/>
        </w:trPr>
        <w:tc>
          <w:tcPr>
            <w:tcW w:w="758" w:type="dxa"/>
            <w:vMerge/>
            <w:tcBorders>
              <w:top w:val="single" w:sz="6" w:space="0" w:color="000000"/>
              <w:left w:val="single" w:sz="6" w:space="0" w:color="000000"/>
              <w:bottom w:val="single" w:sz="6" w:space="0" w:color="000000"/>
              <w:right w:val="single" w:sz="6" w:space="0" w:color="000000"/>
            </w:tcBorders>
            <w:noWrap/>
          </w:tc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科目    编码</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758" w:type="dxa"/>
            <w:vMerge/>
            <w:tcBorders>
              <w:top w:val="single" w:sz="6" w:space="0" w:color="000000"/>
              <w:left w:val="single" w:sz="6" w:space="0" w:color="000000"/>
              <w:bottom w:val="single" w:sz="6" w:space="0" w:color="000000"/>
              <w:right w:val="single" w:sz="6" w:space="0" w:color="000000"/>
            </w:tcBorders>
            <w:noWrap/>
          </w:tc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小计</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财政拨款 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财政专户 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事业收入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经营收入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上级补助收入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附属单位上缴收入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其他收入</w:t>
            </w:r>
          </w:p>
        </w:tc>
        <w:tc>
          <w:tcPr>
            <w:tcW w:w="758" w:type="dxa"/>
            <w:vMerge/>
            <w:tcBorders>
              <w:top w:val="single" w:sz="6" w:space="0" w:color="000000"/>
              <w:left w:val="single" w:sz="6" w:space="0" w:color="000000"/>
              <w:bottom w:val="single" w:sz="6" w:space="0" w:color="000000"/>
              <w:right w:val="single" w:sz="6" w:space="0" w:color="000000"/>
            </w:tcBorders>
            <w:noWrap/>
          </w:tcPr>
          <w:p/>
        </w:tc>
      </w:tr>
      <w:tr>
        <w:trPr>
          <w:trHeight w:val="369"/>
          <w:tblHeader/>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6</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7</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8</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9</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10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11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12</w:t>
            </w: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8"/>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6"/>
            </w:pPr>
            <w:r>
              <w:t>合计</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一般公共服务支出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20111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纪检监察事务</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2011101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行政运行</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教育支出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20508</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进修及培训</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2050803</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培训支出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社会保障和就业支出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20805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行政事业单位养老支出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2080501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行政单位离退休</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2080505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机关事业单位基本养老保险缴费支出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2080506</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机关事业单位职业年金缴费支出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20899</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2089999</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210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卫生健康支出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21011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行政事业单位医疗</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2101101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行政单位医疗</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221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住房保障支出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22102</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住房改革支出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2210201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住房公积金</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rPr>
          <w:trHeight w:val="369"/>
          <w:tblHeader/>
        </w:trPr>
        <w:tc>
          <w:tcPr>
            <w:tcW w:w="3285"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222中国共产党新乐市纪律检查委员会</w:t>
            </w:r>
          </w:p>
        </w:tc>
        <w:tc>
          <w:tcPr>
            <w:tcW w:w="2190" w:type="dxa"/>
            <w:gridSpan w:val="2"/>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4380" w:type="dxa"/>
            <w:gridSpan w:val="4"/>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2190"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功能分类科目</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基本支出</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项目支出</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经营支出</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上解上级     支出</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对附属单位补助支出</w:t>
            </w:r>
          </w:p>
        </w:tc>
      </w:tr>
      <w:tr>
        <w:trPr>
          <w:trHeight w:val="369"/>
          <w:tblHeader/>
        </w:trPr>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科目    编码</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vMerge/>
            <w:tcBorders>
              <w:top w:val="single" w:sz="6" w:space="0" w:color="000000"/>
              <w:left w:val="single" w:sz="6" w:space="0" w:color="000000"/>
              <w:bottom w:val="single" w:sz="6" w:space="0" w:color="000000"/>
              <w:right w:val="single" w:sz="6" w:space="0" w:color="000000"/>
            </w:tcBorders>
            <w:noWrap/>
          </w:tcPr>
          <w:p/>
        </w:tc>
      </w:tr>
      <w:tr>
        <w:trPr>
          <w:trHeight w:val="369"/>
          <w:tblHeader/>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6</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7</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8</w:t>
            </w: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8"/>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6"/>
            </w:pPr>
            <w:r>
              <w:t>合计</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r>
              <w:t>9951126.00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r>
              <w:t>3660000.00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一般公共服务支出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20111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纪检监察事务</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2011101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行政运行</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教育支出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20508</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进修及培训</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2050803</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培训支出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社会保障和就业支出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20805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行政事业单位养老支出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2080501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行政单位离退休</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2080505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机关事业单位基本养老保险缴费支出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2080506</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机关事业单位职业年金缴费支出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20899</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2089999</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210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卫生健康支出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21011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行政事业单位医疗</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2101101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行政单位医疗</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221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住房保障支出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22102</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住房改革支出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2210201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住房公积金</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tblHeader/>
        </w:trPr>
        <w:tc>
          <w:tcPr>
            <w:tcW w:w="3696"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222中国共产党新乐市纪律检查委员会</w:t>
            </w:r>
          </w:p>
        </w:tc>
        <w:tc>
          <w:tcPr>
            <w:tcW w:w="1232"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4928" w:type="dxa"/>
            <w:gridSpan w:val="4"/>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232"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2464"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收入</w:t>
            </w:r>
          </w:p>
        </w:tc>
        <w:tc>
          <w:tcPr>
            <w:tcW w:w="6160" w:type="dxa"/>
            <w:gridSpan w:val="5"/>
            <w:tcBorders>
              <w:top w:val="single" w:sz="6" w:space="0" w:color="000000"/>
              <w:left w:val="single" w:sz="6" w:space="0" w:color="000000"/>
              <w:bottom w:val="single" w:sz="6" w:space="0" w:color="000000"/>
              <w:right w:val="single" w:sz="6" w:space="0" w:color="000000"/>
            </w:tcBorders>
            <w:noWrap/>
            <w:vAlign w:val="center"/>
          </w:tcPr>
          <w:p>
            <w:pPr>
              <w:pStyle w:val="22"/>
            </w:pPr>
            <w:r>
              <w:t>支出</w:t>
            </w:r>
          </w:p>
        </w:tc>
      </w:tr>
      <w:tr>
        <w:trPr>
          <w:trHeight w:val="369"/>
          <w:tblHeader/>
        </w:trPr>
        <w:tc>
          <w:tcPr>
            <w:tcW w:w="1232" w:type="dxa"/>
            <w:vMerge/>
            <w:tcBorders>
              <w:top w:val="single" w:sz="6" w:space="0" w:color="000000"/>
              <w:left w:val="single" w:sz="6" w:space="0" w:color="000000"/>
              <w:bottom w:val="single" w:sz="6" w:space="0" w:color="000000"/>
              <w:right w:val="single" w:sz="6" w:space="0" w:color="000000"/>
            </w:tcBorders>
            <w:noWrap/>
          </w:tc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金额</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一般公共预算财政拨款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政府性基金预算财政    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国有资本经营预算财政拨款</w:t>
            </w:r>
          </w:p>
        </w:tc>
      </w:tr>
      <w:tr>
        <w:trPr>
          <w:trHeight w:val="369"/>
          <w:tblHeader/>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6</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7</w:t>
            </w: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一、一般公共预算拨款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一、一般公共服务支出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二、政府性基金预算拨款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二、外交支出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三、国有资本经营预算拨款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三、国防支出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四、公共安全支出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五、教育支出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六、科学技术支出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七、文化旅游体育与传媒支出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八、社会保障和就业支出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九、社会保险基金支出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十、卫生健康支出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十一、节能环保支出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十二、城乡社区支出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十三、农林水支出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十四、交通运输支出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十五、资源勘探工业信息等支出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十六、商业服务业等支出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十七、金融支出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十八、援助其他地区支出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十九、自然资源海洋气象等支出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二十、住房保障支出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21</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二十一、粮油物资储备支出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22</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二十二、国有资本经营预算支出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23</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二十三、灾害防治及应急管理支出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24</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二十四、预备费</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25</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二十五、其他支出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26</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二十六、转移性支出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27</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二十七、债务还本支出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28</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二十八、债务付息支出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29</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二十九、债务发行费用支出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三十、抗疫特别国债安排的支出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31</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6"/>
            </w:pPr>
            <w:r>
              <w:t>本年收入合计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6"/>
            </w:pPr>
            <w:r>
              <w:t>本年支出合计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32</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年初财政拨款结转和结余</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年末财政拨款结转和结余</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33</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一、一般公共预算拨款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34</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二、政府性基金预算拨款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35</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三、国有资本经营预算拨款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36</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6"/>
            </w:pPr>
            <w:r>
              <w:t>收入总计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6"/>
            </w:pPr>
            <w:r>
              <w:t>支出总计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222中国共产党新乐市纪律检查委员会</w:t>
            </w:r>
          </w:p>
        </w:tc>
        <w:tc>
          <w:tcPr>
            <w:tcW w:w="1643"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28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3286"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基本支出</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项目支出</w:t>
            </w:r>
          </w:p>
        </w:tc>
      </w:tr>
      <w:tr>
        <w:trPr>
          <w:trHeight w:val="369"/>
          <w:tblHeader/>
        </w:trPr>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科目编码</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r>
      <w:tr>
        <w:trPr>
          <w:trHeight w:val="369"/>
          <w:tblHeader/>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8"/>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6"/>
            </w:pPr>
            <w:r>
              <w:t>合计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9951126.00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3660000.00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一般公共服务支出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20111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纪检监察事务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2011101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行政运行</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教育支出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20508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进修及培训</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2050803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培训支出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社会保障和就业支出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20805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行政事业单位养老支出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2080501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行政单位离退休</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2080505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机关事业单位基本养老保险缴费支出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2080506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机关事业单位职业年金缴费支出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20899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2089999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210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卫生健康支出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21011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行政事业单位医疗</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2101101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行政单位医疗</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221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住房保障支出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22102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住房改革支出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2210201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住房公积金</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222中国共产党新乐市纪律检查委员会</w:t>
            </w:r>
          </w:p>
        </w:tc>
        <w:tc>
          <w:tcPr>
            <w:tcW w:w="1643"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28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3286"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支出部门经济分类科目</w:t>
            </w:r>
          </w:p>
        </w:tc>
        <w:tc>
          <w:tcPr>
            <w:tcW w:w="4929" w:type="dxa"/>
            <w:gridSpan w:val="3"/>
            <w:tcBorders>
              <w:top w:val="single" w:sz="6" w:space="0" w:color="000000"/>
              <w:left w:val="single" w:sz="6" w:space="0" w:color="000000"/>
              <w:bottom w:val="single" w:sz="6" w:space="0" w:color="000000"/>
              <w:right w:val="single" w:sz="6" w:space="0" w:color="000000"/>
            </w:tcBorders>
            <w:noWrap/>
            <w:vAlign w:val="center"/>
          </w:tcPr>
          <w:p>
            <w:pPr>
              <w:pStyle w:val="22"/>
            </w:pPr>
            <w:r>
              <w:t>一般公共预算基本支出</w:t>
            </w:r>
          </w:p>
        </w:tc>
      </w:tr>
      <w:tr>
        <w:trPr>
          <w:trHeight w:val="369"/>
          <w:tblHeader/>
        </w:trPr>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科目编码</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人员经费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公用经费</w:t>
            </w:r>
          </w:p>
        </w:tc>
      </w:tr>
      <w:tr>
        <w:trPr>
          <w:trHeight w:val="369"/>
          <w:tblHeader/>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8"/>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6"/>
            </w:pPr>
            <w:r>
              <w:t>合计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9951126.00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8634322.00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1316804.00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工资福利支出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8335232.00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8335232.00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基本工资</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3332208.00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3332208.00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津贴补贴</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1183536.00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1183536.00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奖金</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1867318.00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1867318.00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绩效工资</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100450.00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100450.00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机关事业单位基本养老保险缴费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职业年金缴费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30110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职工基本医疗保险缴费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30112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30113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住房公积金</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商品和服务支出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993622.00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993622.00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办公费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130658.00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130658.00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印刷费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80000.00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手续费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15000.00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15000.00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电费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176000.00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176000.00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邮电费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30211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差旅费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30213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维修(护)费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30215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会议费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30216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培训费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30228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工会经费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43212.00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43212.00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30229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福利费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60250.00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60250.00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30231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公务用车运行维护费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206000.00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30299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其他商品和服务支出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46502.00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46502.00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对个人和家庭的补助</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30302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退休费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310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资本性支出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323182.00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323182.00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30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31002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办公设备购置</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31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31003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专用设备购置</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223182.00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223182.00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222中国共产党新乐市纪律检查委员会</w:t>
            </w:r>
          </w:p>
        </w:tc>
        <w:tc>
          <w:tcPr>
            <w:tcW w:w="1643"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28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3286"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基本支出</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项目支出</w:t>
            </w:r>
          </w:p>
        </w:tc>
      </w:tr>
      <w:tr>
        <w:trPr>
          <w:trHeight w:val="369"/>
          <w:tblHeader/>
        </w:trPr>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科目编码</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r>
      <w:tr>
        <w:trPr>
          <w:trHeight w:val="369"/>
          <w:tblHeader/>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222中国共产党新乐市纪律检查委员会</w:t>
            </w:r>
          </w:p>
        </w:tc>
        <w:tc>
          <w:tcPr>
            <w:tcW w:w="1643"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28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3286"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基本支出</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项目支出</w:t>
            </w:r>
          </w:p>
        </w:tc>
      </w:tr>
      <w:tr>
        <w:trPr>
          <w:trHeight w:val="369"/>
          <w:tblHeader/>
        </w:trPr>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科目编码</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r>
      <w:tr>
        <w:trPr>
          <w:trHeight w:val="369"/>
          <w:tblHeader/>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222中国共产党新乐市纪律检查委员会</w:t>
            </w:r>
          </w:p>
        </w:tc>
        <w:tc>
          <w:tcPr>
            <w:tcW w:w="1643"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28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6572" w:type="dxa"/>
            <w:gridSpan w:val="4"/>
            <w:tcBorders>
              <w:top w:val="single" w:sz="6" w:space="0" w:color="000000"/>
              <w:left w:val="single" w:sz="6" w:space="0" w:color="000000"/>
              <w:bottom w:val="single" w:sz="6" w:space="0" w:color="000000"/>
              <w:right w:val="single" w:sz="6" w:space="0" w:color="000000"/>
            </w:tcBorders>
            <w:noWrap/>
            <w:vAlign w:val="center"/>
          </w:tcPr>
          <w:p>
            <w:pPr>
              <w:pStyle w:val="22"/>
            </w:pPr>
            <w:r>
              <w:t>资 金 性 质</w:t>
            </w:r>
          </w:p>
        </w:tc>
      </w:tr>
      <w:tr>
        <w:trPr>
          <w:trHeight w:val="567"/>
          <w:tblHeader/>
        </w:trPr>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一般公共预算              财政拨款</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政府性基金                  预算拨款</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国有资本经营              预算财政拨款</w:t>
            </w:r>
          </w:p>
        </w:tc>
      </w:tr>
      <w:tr>
        <w:trPr>
          <w:trHeight w:val="567"/>
          <w:tblHeader/>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6"/>
            </w:pPr>
            <w:r>
              <w:t>“三公”经费小计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366000.00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366000.00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一、因公出国（境）费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 xml:space="preserve">    其中：教学科研人员因公出国（境）费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 xml:space="preserve">          其他因公出国（境）费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二、公务用车购置及运维费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 xml:space="preserve">    其中：公务用车购置费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160000.00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160000.00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 xml:space="preserve">          公务用车运行维护费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三、公务接待费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中国共产党新乐市纪律检查委员会2022年部门预算信息公开情况说明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中国共产党新乐市纪律检查委员会2022年部门预算信息公开情况说明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按照《预算法》、《地方预决算公开操作规程》和《关于进一步推进预算公开工作的实施意见》规定，现将中国共产党新乐市纪律检查委员会2022年部门预算公开如下：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9"/>
      </w:pPr>
      <w:r>
        <w:t>部门职责：</w:t>
      </w:r>
    </w:p>
    <w:p>
      <w:pPr>
        <w:pStyle w:val="29"/>
      </w:pPr>
      <w:r>
        <w:t>中国共产党新乐市纪律检查委员会主要职能职责。中共新乐市纪律检查委员会、新乐市监察委员会机关合署办公，实行一套工作机构、两个机关名称，履行纪检、监察两项职能。</w:t>
      </w:r>
    </w:p>
    <w:p>
      <w:pPr>
        <w:pStyle w:val="29"/>
      </w:pPr>
      <w:r>
        <w:t>纪检职责：</w:t>
      </w:r>
    </w:p>
    <w:p>
      <w:pPr>
        <w:pStyle w:val="29"/>
      </w:pPr>
      <w:r>
        <w:t>　　维护党的章程和其他党内法规，协助党的委员会加强党风建设，检查党的路线方针政策和决议的执行情况；对党员进行遵守纪律的教育，作出关于维护党纪的决定；检查和处理党的组织和党员违反党章和其他党内法规的比较重要或复杂的案件，决定或取消对这些案件中党员的处分；受理党员的控告和申诉等。</w:t>
      </w:r>
    </w:p>
    <w:p>
      <w:pPr>
        <w:pStyle w:val="29"/>
      </w:pPr>
      <w:r>
        <w:t>监察职责</w:t>
      </w:r>
    </w:p>
    <w:p>
      <w:pPr>
        <w:pStyle w:val="29"/>
      </w:pPr>
      <w:r>
        <w:t>　监察委员会依照《中华人民共和国行政监察法》和有关法律规定履行监督、调查、处置职责：</w:t>
      </w:r>
    </w:p>
    <w:p>
      <w:pPr>
        <w:pStyle w:val="29"/>
      </w:pPr>
      <w:r>
        <w:t>　对公职人员开展廉政教育，对其依法履职、秉公用权、廉洁从政从业以及道德操守情况进行监督检查；</w:t>
      </w:r>
    </w:p>
    <w:p>
      <w:pPr>
        <w:pStyle w:val="29"/>
      </w:pPr>
      <w:r>
        <w:t>　对涉嫌贪污贿赂、滥用职权、玩忽职守、权力寻租、利益输送、徇私舞弊以及浪费国家资财等职务违法和职务犯罪进行调查；</w:t>
      </w:r>
    </w:p>
    <w:p>
      <w:pPr>
        <w:pStyle w:val="29"/>
      </w:pPr>
      <w:r>
        <w:t>　对违法的公职人员依法作出政务处分决定；对履行职责不力、失职失责的领导人员进行问责；对涉嫌职务犯罪的，将调查结果移送人民检察院依法审查、提起公诉；向监察对象所在单位提出监察建议。</w:t>
      </w:r>
    </w:p>
    <w:p>
      <w:pPr>
        <w:pStyle w:val="29"/>
      </w:pPr>
      <w:r>
        <w:t>支持配合巡视、巡察工作。承担巡视、巡察整改日常监督责任，做好巡视、巡察整改督查督办工作，依规依纪依法处置巡视、巡察移交的反映领导干部问题线索。</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4"/>
        <w:gridCol w:w="2464"/>
        <w:gridCol w:w="2464"/>
        <w:gridCol w:w="2464"/>
      </w:tblGrid>
      <w:tr>
        <w:trPr>
          <w:trHeight w:val="567"/>
          <w:tblHeader/>
        </w:trPr>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2"/>
            </w:pPr>
            <w:r>
              <w:t>单位名称</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2"/>
            </w:pPr>
            <w:r>
              <w:t>单位性质</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2"/>
            </w:pPr>
            <w:r>
              <w:t>单位规格</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2"/>
            </w:pPr>
            <w:r>
              <w:t>经费保障形式</w:t>
            </w:r>
          </w:p>
        </w:tc>
      </w:tr>
      <w:tr>
        <w:trPr>
          <w:trHeight w:val="369"/>
        </w:trPr>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4"/>
            </w:pPr>
            <w:r>
              <w:t>中国共产党新乐市纪律检查委员会本级</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5"/>
            </w:pPr>
            <w:r>
              <w:t>行政</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5"/>
            </w:pPr>
            <w:r>
              <w:t>正科级</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5"/>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按照预算管理有关规定，目前我省部门预算的编制实行综合预算管理，即全部收入和支出都反映在预算中。中国共产党新乐市纪律检查委员会机关及所属事业单位的收支包含在部门预算中。</w:t>
      </w:r>
    </w:p>
    <w:p>
      <w:pPr>
        <w:pStyle w:val="30"/>
      </w:pPr>
      <w:r>
        <w:t>部门预算安排的总体情况</w:t>
      </w:r>
    </w:p>
    <w:p>
      <w:pPr>
        <w:pStyle w:val="30"/>
      </w:pPr>
      <w:r>
        <w:t>一、按照预算管理有关规定，目前我省部门预算的编制实行综合预算管理，即全部收入和支出都反映在预算中。新乐市纪检委机关及所属事业单位的收支包含在部门预算中。</w:t>
      </w:r>
    </w:p>
    <w:p>
      <w:pPr>
        <w:pStyle w:val="30"/>
        <w:rPr>
          <w:rFonts w:hint="eastAsia"/>
        </w:rPr>
      </w:pPr>
      <w:r>
        <w:rPr>
          <w:rFonts w:hint="eastAsia"/>
        </w:rPr>
        <w:t>1、收入说明，2022年预算收入1361.1126万元，其中：一般公共预算收入1361.1126万元，基金预算收入0万元，财政专户核拨收入0万元，其他来源收入0万元，上年结转结余0万元。</w:t>
      </w:r>
    </w:p>
    <w:p>
      <w:pPr>
        <w:pStyle w:val="30"/>
        <w:rPr>
          <w:rFonts w:hint="eastAsia"/>
        </w:rPr>
      </w:pPr>
      <w:r>
        <w:rPr>
          <w:rFonts w:hint="eastAsia"/>
        </w:rPr>
        <w:t>2、支出说明，收支预算总表支出栏、基本支出表、项目支出表按经济分类和支出功能分类科目编制，反映新乐市纪检委预算中支出预算的总体情况。2022年支出预算1206.55万元，其中基本支出995.1126万元，包括人员经费863.4322万元和日常公用经费131.6804万元；项目支出366万元，主要为纪律检查、纪检事务管理等；其他支出0万元。</w:t>
      </w:r>
    </w:p>
    <w:p>
      <w:pPr>
        <w:pStyle w:val="30"/>
        <w:rPr>
          <w:rFonts w:hint="eastAsia"/>
        </w:rPr>
      </w:pPr>
      <w:r>
        <w:rPr>
          <w:rFonts w:hint="eastAsia"/>
        </w:rPr>
        <w:t>3、比上年增减情况，2022年预算收支安排1361.1126万元，较2021年预算增加154.5626万元，其中：基本支出增加154.5626万元，主要为增加人员经费；项目支出与上年相比持平，无增减变化。</w:t>
      </w:r>
    </w:p>
    <w:p>
      <w:pPr>
        <w:pStyle w:val="30"/>
        <w:rPr>
          <w:rFonts w:hint="eastAsia"/>
        </w:rPr>
      </w:pPr>
    </w:p>
    <w:p>
      <w:pPr>
        <w:pStyle w:val="30"/>
      </w:pPr>
      <w:r>
        <w:t>　</w:t>
      </w:r>
    </w:p>
    <w:p>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pPr>
        <w:pStyle w:val="31"/>
      </w:pPr>
      <w:r>
        <w:rPr>
          <w:rFonts w:hint="eastAsia"/>
        </w:rPr>
        <w:t>2022年，新乐市纪检委机关运行经费共计安排99.3622万元，主要用于日常维修、办公用房水电费、办公用房取暖费、办公用房物业管理费等日常运行支出。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pPr>
        <w:pStyle w:val="32"/>
      </w:pPr>
      <w:r>
        <w:rPr>
          <w:rFonts w:hint="eastAsia"/>
        </w:rPr>
        <w:t>2022年，新乐市纪检委财政拨款“三公”经费预算安排36.6万元，其中因公出国（境）费0万元；公务用车购置及运维费36.6万元（其中：公务用车购置费为16万元，公务用车运维费20.6万元)；公务接待费0万元。因公出国（境）费0万元，与上年相比持平，无增减变化，主要原因是年初没有安排因公出国费；公务用车购置及运行维护费36.6万元(其中公务用车购16万元，公务用车运行维护费20.6万元）,与上年相比增加，增加2.5万元，主要原因是公务用车老旧无法继续使用，欲报废更换一辆执法执勤公务用车；(其中公务用车购置较上年增加，增加16万元；公务用车运行维护费与上年相比持平，无增减变化；公务接待费0万元，与上年相比持平，无增减变化。</w:t>
      </w:r>
    </w:p>
    <w:p>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3"/>
      </w:pPr>
      <w:r>
        <w:t>总体绩效目标：</w:t>
      </w:r>
    </w:p>
    <w:p>
      <w:pPr>
        <w:pStyle w:val="33"/>
      </w:pPr>
      <w:r>
        <w:t>全市纪检监察系统要深入学习贯彻党的十九届五中全会、十九届中央纪委五次全会、省委全会、省纪委全会、石家庄市委全会、石家庄市纪委全会和新乐市委全会精神，胸怀两个大局，旗帜鲜明讲政治，不断提高政治判断力、政治领悟力、政治执行力，坚定维护习近平总书记党中央的核心、全党的核心地位，坚定维护党中央权威和集中统一领导，把党中央决策部署与纪委监委职责科学地、历史地、具体地结合起来，坚持稳中求进、坚定稳妥，坚持实事求是、依规依纪依法，坚持惩前毖后、治病救人，坚持政策策略、纪法情理融合，坚持系统施治、标本兼治，坚定政治方向、把准职能定位、展现担当作为。我们要更加突出政治监督，更加突出高质量发展主题，更加突出整治群众身边腐败和作风问题，更加突出发挥监督治理效能，更加突出严管厚爱结合、激励约束并重，使正风肃纪反腐更好适应现代化建设需要，使监督体系更好融入国家治理体系，释放更大治理效能。</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4"/>
      </w:pPr>
      <w:r>
        <w:t>分项绩效目标：</w:t>
      </w:r>
    </w:p>
    <w:p>
      <w:pPr>
        <w:pStyle w:val="34"/>
        <w:rPr>
          <w:rFonts w:hint="eastAsia"/>
        </w:rPr>
      </w:pPr>
      <w:r>
        <w:rPr>
          <w:rFonts w:hint="eastAsia"/>
          <w:lang w:val="en-US" w:eastAsia="zh-CN"/>
        </w:rPr>
        <w:t>1、</w:t>
      </w:r>
      <w:r>
        <w:rPr>
          <w:rFonts w:hint="eastAsia"/>
        </w:rPr>
        <w:t>加大纪律检查工作力度，促进党风廉政建设。</w:t>
      </w:r>
    </w:p>
    <w:p>
      <w:pPr>
        <w:pStyle w:val="34"/>
        <w:rPr>
          <w:rFonts w:hint="eastAsia"/>
        </w:rPr>
      </w:pPr>
      <w:r>
        <w:rPr>
          <w:rFonts w:hint="eastAsia"/>
        </w:rPr>
        <w:t>绩效目标：负责全市党的纪律检查工作</w:t>
      </w:r>
    </w:p>
    <w:p>
      <w:pPr>
        <w:pStyle w:val="34"/>
        <w:rPr>
          <w:rFonts w:hint="eastAsia"/>
        </w:rPr>
      </w:pPr>
      <w:r>
        <w:rPr>
          <w:rFonts w:hint="eastAsia"/>
        </w:rPr>
        <w:t>绩效指标：增加纪律检查次数，每月不少于2次</w:t>
      </w:r>
    </w:p>
    <w:p>
      <w:pPr>
        <w:pStyle w:val="34"/>
        <w:rPr>
          <w:rFonts w:hint="eastAsia"/>
        </w:rPr>
      </w:pPr>
      <w:r>
        <w:rPr>
          <w:rFonts w:hint="eastAsia"/>
          <w:lang w:val="en-US" w:eastAsia="zh-CN"/>
        </w:rPr>
        <w:t>2、</w:t>
      </w:r>
      <w:r>
        <w:rPr>
          <w:rFonts w:hint="eastAsia"/>
        </w:rPr>
        <w:t>加大对违法违纪案件查处力度，做好反腐败工作</w:t>
      </w:r>
    </w:p>
    <w:p>
      <w:pPr>
        <w:pStyle w:val="34"/>
        <w:rPr>
          <w:rFonts w:hint="eastAsia"/>
        </w:rPr>
      </w:pPr>
      <w:r>
        <w:rPr>
          <w:rFonts w:hint="eastAsia"/>
        </w:rPr>
        <w:t>绩效目标：依照党的章程和其他党内法规履行监督、执纪、问责职责</w:t>
      </w:r>
    </w:p>
    <w:p>
      <w:pPr>
        <w:pStyle w:val="34"/>
        <w:rPr>
          <w:rFonts w:hint="eastAsia"/>
        </w:rPr>
      </w:pPr>
      <w:r>
        <w:rPr>
          <w:rFonts w:hint="eastAsia"/>
        </w:rPr>
        <w:t>绩效指标：违法违纪案件办结率≥90%</w:t>
      </w:r>
    </w:p>
    <w:p>
      <w:pPr>
        <w:pStyle w:val="34"/>
        <w:rPr>
          <w:rFonts w:hint="eastAsia"/>
        </w:rPr>
      </w:pPr>
      <w:r>
        <w:rPr>
          <w:rFonts w:hint="eastAsia"/>
          <w:lang w:val="en-US" w:eastAsia="zh-CN"/>
        </w:rPr>
        <w:t>3、</w:t>
      </w:r>
      <w:r>
        <w:rPr>
          <w:rFonts w:hint="eastAsia"/>
        </w:rPr>
        <w:t>支持配合巡视、巡察工作</w:t>
      </w:r>
    </w:p>
    <w:p>
      <w:pPr>
        <w:pStyle w:val="34"/>
        <w:rPr>
          <w:rFonts w:hint="eastAsia"/>
        </w:rPr>
      </w:pPr>
      <w:r>
        <w:rPr>
          <w:rFonts w:hint="eastAsia"/>
        </w:rPr>
        <w:t>绩效目标：承担巡视、巡察整改日常监督责任，做好巡视、巡察整改督察督办工作，依规依纪依法处置巡视、巡察移交的反映领导干部问题线索。</w:t>
      </w:r>
    </w:p>
    <w:p>
      <w:pPr>
        <w:pStyle w:val="34"/>
        <w:rPr>
          <w:rFonts w:hint="eastAsia"/>
        </w:rPr>
      </w:pPr>
      <w:r>
        <w:rPr>
          <w:rFonts w:hint="eastAsia"/>
        </w:rPr>
        <w:t>绩效指标：巡察巡视次数≥2次</w:t>
      </w:r>
    </w:p>
    <w:p>
      <w:pPr>
        <w:pStyle w:val="34"/>
        <w:rPr>
          <w:rFonts w:hint="eastAsia"/>
        </w:rPr>
      </w:pPr>
      <w:r>
        <w:rPr>
          <w:rFonts w:hint="eastAsia"/>
          <w:lang w:val="en-US" w:eastAsia="zh-CN"/>
        </w:rPr>
        <w:t>4、</w:t>
      </w:r>
      <w:r>
        <w:rPr>
          <w:rFonts w:hint="eastAsia"/>
        </w:rPr>
        <w:t>加大监察力度，开展廉政建设和反腐败工作。</w:t>
      </w:r>
    </w:p>
    <w:p>
      <w:pPr>
        <w:pStyle w:val="34"/>
        <w:rPr>
          <w:rFonts w:hint="eastAsia"/>
        </w:rPr>
      </w:pPr>
      <w:r>
        <w:rPr>
          <w:rFonts w:hint="eastAsia"/>
        </w:rPr>
        <w:t>绩效目标：负责全市监察工作</w:t>
      </w:r>
    </w:p>
    <w:p>
      <w:pPr>
        <w:pStyle w:val="34"/>
      </w:pPr>
      <w:r>
        <w:rPr>
          <w:rFonts w:hint="eastAsia"/>
        </w:rPr>
        <w:t>绩效指标：职务违法和职务犯罪案件办结率≥90%</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5"/>
      </w:pPr>
      <w:r>
        <w:t>工作保障措施</w:t>
      </w:r>
    </w:p>
    <w:p>
      <w:pPr>
        <w:pStyle w:val="35"/>
      </w:pPr>
      <w:r>
        <w:t>1、加强制度建设。建立健全预算绩效管理制度，为全年预算绩效目标的实现奠定制度基础。</w:t>
      </w:r>
    </w:p>
    <w:p>
      <w:pPr>
        <w:pStyle w:val="35"/>
      </w:pPr>
      <w:r>
        <w:t>2、规范财务管理。高度重视财务工作的制度保障、制度执行和流程管理，建立健全财务管理制度，严格审批程序，并加强财务人员的业务培训，提高业务素质，确保财政资金使用合法合规。</w:t>
      </w:r>
    </w:p>
    <w:p>
      <w:pPr>
        <w:pStyle w:val="35"/>
      </w:pPr>
      <w:r>
        <w:t>3、加强内部监督。加强内部监督制度建设，对绩效运行、重大支出事项、资产处置及其他重要经济业务事项决策和执行进行监督，定期开展财务内部审计，确保财政资金使用安全合规。</w:t>
      </w:r>
    </w:p>
    <w:p>
      <w:pPr>
        <w:pStyle w:val="35"/>
      </w:pPr>
      <w:r>
        <w:t>4、加强绩效运行监控。按要求开展绩效运行监控，每月按要求对部门整体绩效目标和预算项目绩效目标实现情况和预算执行进度进行监控，发现问题及时采取措施，确保绩效目标如期保质实现。</w:t>
      </w:r>
    </w:p>
    <w:p>
      <w:pPr>
        <w:pStyle w:val="35"/>
      </w:pPr>
      <w:r>
        <w:t>5、做好绩效自评。按要求开展部门预算绩效自评和重点项目评价工作，对评价中发现的问题及时整改。</w:t>
      </w:r>
    </w:p>
    <w:p>
      <w:pPr>
        <w:pStyle w:val="35"/>
      </w:pPr>
      <w:r>
        <w:t>6、加强宣传培训。加强人员培训，加大宣传力度，强化预算绩效管理意识，促进预算绩效管理水平提升。</w:t>
      </w: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eastAsia="方正楷体_GBK" w:cs="方正楷体_GBK"/>
          <w:b/>
          <w:color w:val="000000"/>
          <w:sz w:val="32"/>
        </w:rPr>
      </w:pPr>
    </w:p>
    <w:p>
      <w:pPr>
        <w:spacing w:before="0" w:after="0" w:line="240" w:lineRule="auto"/>
        <w:ind w:firstLine="640"/>
        <w:jc w:val="left"/>
        <w:outlineLvl w:val="9"/>
        <w:rPr>
          <w:rFonts w:ascii="方正楷体_GBK" w:eastAsia="方正楷体_GBK" w:cs="方正楷体_GBK" w:hint="eastAsia"/>
          <w:b w:val="0"/>
          <w:bCs/>
          <w:color w:val="000000"/>
          <w:sz w:val="32"/>
          <w:lang w:val="en-US" w:eastAsia="zh-CN"/>
        </w:rPr>
        <w:sectPr>
          <w:pgSz w:w="16840" w:h="11900" w:orient="landscape"/>
          <w:pgMar w:top="1361" w:right="1020" w:bottom="1361" w:left="1020" w:header="720" w:footer="720" w:gutter="0"/>
          <w:docGrid w:linePitch="326" w:charSpace="0"/>
        </w:sectPr>
      </w:pPr>
      <w:r>
        <w:rPr>
          <w:rFonts w:ascii="方正楷体_GBK" w:eastAsia="方正楷体_GBK" w:cs="方正楷体_GBK" w:hint="eastAsia"/>
          <w:b w:val="0"/>
          <w:bCs/>
          <w:color w:val="000000"/>
          <w:sz w:val="32"/>
          <w:lang w:val="en-US" w:eastAsia="zh-CN"/>
        </w:rPr>
        <w:t>本年度无专项资金绩效目标。</w:t>
      </w:r>
    </w:p>
    <w:p>
      <w:pPr>
        <w:spacing w:before="0" w:after="0" w:line="240" w:lineRule="auto"/>
        <w:ind w:firstLine="640"/>
        <w:jc w:val="left"/>
        <w:outlineLvl w:val="9"/>
        <w:rPr>
          <w:rFonts w:eastAsia="方正楷体_GBK" w:hint="eastAsia"/>
          <w:lang w:val="en-US" w:eastAsia="zh-CN"/>
        </w:rPr>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w:t>
      </w:r>
      <w:r>
        <w:rPr>
          <w:rFonts w:ascii="方正楷体_GBK" w:eastAsia="方正楷体_GBK" w:cs="方正楷体_GBK" w:hint="eastAsia"/>
          <w:b/>
          <w:color w:val="000000"/>
          <w:sz w:val="32"/>
          <w:lang w:val="en-US" w:eastAsia="zh-CN"/>
        </w:rPr>
        <w:t>标</w:t>
      </w:r>
    </w:p>
    <w:p>
      <w:pPr>
        <w:spacing w:before="0" w:after="0"/>
        <w:jc w:val="left"/>
        <w:outlineLvl w:val="9"/>
      </w:pPr>
      <w:r>
        <w:rPr>
          <w:rFonts w:ascii="方正仿宋_GBK" w:eastAsia="方正仿宋_GBK" w:cs="方正仿宋_GBK"/>
          <w:b/>
          <w:color w:val="000000"/>
          <w:sz w:val="28"/>
        </w:rPr>
        <w:t>1、2022年本级支出-办公经费绩效目标表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1.确保日常办公正常运转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人员办公所需</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保障所有人员办公费用支出</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办公质量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保障办公基本质量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保障办公用品配备及时</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严控配备标准不超标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满意程度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2、2022年本级支出-办公设备购置费绩效目标表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1.确保日常办公正常运转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人员办公所需</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保障所有人员办公设备基本需求</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办公质量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保障办公基本质量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保障办公设备配备及时</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严控配置标准不超标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满意程度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3、2022年本级支出-车辆购置费绩效目标表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1.确保日常工作正常督查、检查工作的开展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人员办公所需</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保障工作开展</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督查、检查质量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保障基本质量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督查检查及时率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严控配备标准不超标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≥100%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满意程度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4、2022年本级支出-福利费绩效目标表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1.确保机关食堂补贴和职工基本福利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职工福利人数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惠及职工人数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≥100%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质量达标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质量达标率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按时保障</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严控配备标准不超标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满意程度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5、2022年本级支出-纪检办案经费绩效目标表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1.确保纪检办案工资正常进行</w:t>
            </w:r>
          </w:p>
          <w:p>
            <w:pPr>
              <w:pStyle w:val="24"/>
            </w:pPr>
            <w:r>
              <w:t>2.提高办案效率</w:t>
            </w:r>
          </w:p>
          <w:p>
            <w:pPr>
              <w:pStyle w:val="24"/>
            </w:pPr>
            <w:r>
              <w:t>3.提高办案质量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办案数量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办案数量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办案质量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办案完结情况</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办案时效</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严控配备标准不超标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满意程度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6、2022年本级支出-劳务费绩效目标表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1.确保日常办公正常运转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人员基本需求</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保障办公所需基本人员</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≥100%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工作质量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达到工作标准质量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人员配备及时</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严控配备标准不超标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4" w:name="_Toc_3_3_0000000015"/>
      <w:r>
        <w:rPr>
          <w:rFonts w:ascii="黑体" w:eastAsia="黑体" w:cs="黑体"/>
          <w:color w:val="000000"/>
          <w:sz w:val="32"/>
        </w:rPr>
        <w:t>六、政府采购预算情况</w:t>
      </w:r>
      <w:bookmarkEnd w:id="14"/>
    </w:p>
    <w:p>
      <w:pPr>
        <w:spacing w:before="0" w:after="0" w:line="500" w:lineRule="exact"/>
        <w:ind w:firstLine="560"/>
        <w:jc w:val="left"/>
        <w:outlineLvl w:val="9"/>
      </w:pPr>
      <w:r>
        <w:rPr>
          <w:rFonts w:ascii="Times New Roman" w:eastAsia="方正仿宋_GBK" w:cs="Times New Roman" w:hAnsi="Times New Roman"/>
          <w:b w:val="0"/>
          <w:color w:val="000000"/>
          <w:sz w:val="28"/>
        </w:rPr>
        <w:t>2022年，中国共产党新乐市纪律检查委员会安排政府采购预算0.00元。具体内容见下表。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W w:w="14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bottom w:val="single" w:sz="6" w:space="0" w:color="000000"/>
              <w:right w:val="single" w:sz="6" w:space="0" w:color="FFFFFF"/>
            </w:tcBorders>
            <w:noWrap/>
            <w:vAlign w:val="center"/>
          </w:tcPr>
          <w:p>
            <w:pPr>
              <w:pStyle w:val="21"/>
            </w:pPr>
            <w:r>
              <w:t>222中国共产党新乐市纪律检查委员会</w:t>
            </w:r>
          </w:p>
        </w:tc>
        <w:tc>
          <w:tcPr>
            <w:tcW w:w="8316" w:type="dxa"/>
            <w:gridSpan w:val="9"/>
            <w:tcBorders>
              <w:top w:val="single" w:sz="6" w:space="0" w:color="FFFFFF"/>
              <w:left w:val="single" w:sz="6" w:space="0" w:color="FFFFFF"/>
              <w:bottom w:val="single" w:sz="6" w:space="0" w:color="000000"/>
              <w:right w:val="single" w:sz="6" w:space="0" w:color="FFFFFF"/>
            </w:tcBorders>
            <w:noWrap/>
            <w:vAlign w:val="center"/>
          </w:tcPr>
          <w:p>
            <w:pPr>
              <w:pStyle w:val="36"/>
            </w:pPr>
            <w:r>
              <w:t>单位：元</w:t>
            </w:r>
          </w:p>
        </w:tc>
      </w:tr>
      <w:tr>
        <w:trPr>
          <w:cantSplit/>
          <w:tblHeader/>
        </w:trPr>
        <w:tc>
          <w:tcPr>
            <w:tcW w:w="1848"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政府采购项目来源</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采购物品名称</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政府采购目录序号</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计量  单位</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数量</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单价</w:t>
            </w:r>
          </w:p>
        </w:tc>
        <w:tc>
          <w:tcPr>
            <w:tcW w:w="7392" w:type="dxa"/>
            <w:gridSpan w:val="8"/>
            <w:tcBorders>
              <w:top w:val="single" w:sz="6" w:space="0" w:color="000000"/>
              <w:left w:val="single" w:sz="6" w:space="0" w:color="000000"/>
              <w:bottom w:val="single" w:sz="6" w:space="0" w:color="000000"/>
              <w:right w:val="single" w:sz="6" w:space="0" w:color="000000"/>
            </w:tcBorders>
            <w:noWrap/>
            <w:vAlign w:val="center"/>
          </w:tcPr>
          <w:p>
            <w:pPr>
              <w:pStyle w:val="22"/>
            </w:pPr>
            <w:r>
              <w:t>政府采购金额（当年部门预算安排资金）</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2022年  预留中  小微企  业份额</w:t>
            </w:r>
          </w:p>
        </w:tc>
      </w:tr>
      <w:tr>
        <w:trPr>
          <w:cantSplit/>
          <w:tblHeader/>
        </w:trPr>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项目名称</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预算    资金</w:t>
            </w:r>
          </w:p>
        </w:tc>
        <w:tc>
          <w:tcPr>
            <w:tcW w:w="924" w:type="dxa"/>
            <w:vMerge/>
            <w:tcBorders>
              <w:top w:val="single" w:sz="6" w:space="0" w:color="000000"/>
              <w:left w:val="single" w:sz="6" w:space="0" w:color="000000"/>
              <w:bottom w:val="single" w:sz="6" w:space="0" w:color="000000"/>
              <w:right w:val="single" w:sz="6" w:space="0" w:color="000000"/>
            </w:tcBorders>
            <w:noWrap/>
          </w:tcPr>
          <w:p/>
        </w:tc>
        <w:tc>
          <w:tcPr>
            <w:tcW w:w="924" w:type="dxa"/>
            <w:vMerge/>
            <w:tcBorders>
              <w:top w:val="single" w:sz="6" w:space="0" w:color="000000"/>
              <w:left w:val="single" w:sz="6" w:space="0" w:color="000000"/>
              <w:bottom w:val="single" w:sz="6" w:space="0" w:color="000000"/>
              <w:right w:val="single" w:sz="6" w:space="0" w:color="000000"/>
            </w:tcBorders>
            <w:noWrap/>
          </w:tcPr>
          <w:p/>
        </w:tc>
        <w:tc>
          <w:tcPr>
            <w:tcW w:w="924" w:type="dxa"/>
            <w:vMerge/>
            <w:tcBorders>
              <w:top w:val="single" w:sz="6" w:space="0" w:color="000000"/>
              <w:left w:val="single" w:sz="6" w:space="0" w:color="000000"/>
              <w:bottom w:val="single" w:sz="6" w:space="0" w:color="000000"/>
              <w:right w:val="single" w:sz="6" w:space="0" w:color="000000"/>
            </w:tcBorders>
            <w:noWrap/>
          </w:tcPr>
          <w:p/>
        </w:tc>
        <w:tc>
          <w:tcPr>
            <w:tcW w:w="924" w:type="dxa"/>
            <w:vMerge/>
            <w:tcBorders>
              <w:top w:val="single" w:sz="6" w:space="0" w:color="000000"/>
              <w:left w:val="single" w:sz="6" w:space="0" w:color="000000"/>
              <w:bottom w:val="single" w:sz="6" w:space="0" w:color="000000"/>
              <w:right w:val="single" w:sz="6" w:space="0" w:color="000000"/>
            </w:tcBorders>
            <w:noWrap/>
          </w:tcPr>
          <w:p/>
        </w:tc>
        <w:tc>
          <w:tcPr>
            <w:tcW w:w="924" w:type="dxa"/>
            <w:vMerge/>
            <w:tcBorders>
              <w:top w:val="single" w:sz="6" w:space="0" w:color="000000"/>
              <w:left w:val="single" w:sz="6" w:space="0" w:color="000000"/>
              <w:bottom w:val="single" w:sz="6" w:space="0" w:color="000000"/>
              <w:right w:val="single" w:sz="6" w:space="0" w:color="000000"/>
            </w:tcBorders>
            <w:noWrap/>
          </w:tc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一般公共预算拨款</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基金预算拨款</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国有资本经营预算拨款</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财政专户核拨</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单位    资金</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财政拨    款结转</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非财政    拨款结    转结余</w:t>
            </w:r>
          </w:p>
        </w:tc>
        <w:tc>
          <w:tcPr>
            <w:tcW w:w="924" w:type="dxa"/>
            <w:vMerge/>
            <w:tcBorders>
              <w:top w:val="single" w:sz="6" w:space="0" w:color="000000"/>
              <w:left w:val="single" w:sz="6" w:space="0" w:color="000000"/>
              <w:bottom w:val="single" w:sz="6" w:space="0" w:color="000000"/>
              <w:right w:val="single" w:sz="6" w:space="0" w:color="000000"/>
            </w:tcBorders>
            <w:noWrap/>
          </w:tcPr>
          <w:p/>
        </w:tc>
      </w:tr>
      <w:tr>
        <w:trPr>
          <w:cantSplit/>
        </w:trPr>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color w:val="000000"/>
          <w:sz w:val="32"/>
        </w:rPr>
        <w:t>七、国有资产信息</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中国共产党新乐市纪律检查委员会（含所属单位）上年末固定资产金额为3760022.00元（详见下表）。本年度拟购置固定资产总额为0.00元，已按要求列入政府采购预算，详见政府采购预算表。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bottom w:val="single" w:sz="6" w:space="0" w:color="000000"/>
              <w:right w:val="single" w:sz="6" w:space="0" w:color="FFFFFF"/>
            </w:tcBorders>
            <w:noWrap/>
            <w:vAlign w:val="center"/>
          </w:tcPr>
          <w:p>
            <w:pPr>
              <w:pStyle w:val="21"/>
            </w:pPr>
            <w:r>
              <w:t>222中国共产党新乐市纪律检查委员会</w:t>
            </w:r>
          </w:p>
        </w:tc>
        <w:tc>
          <w:tcPr>
            <w:tcW w:w="986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截止时间：2021-12-31</w:t>
            </w:r>
          </w:p>
        </w:tc>
      </w:tr>
      <w:tr>
        <w:trPr>
          <w:tblHeader/>
        </w:trP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2"/>
            </w:pPr>
            <w:r>
              <w:t>数量</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2"/>
            </w:pPr>
            <w:r>
              <w:t>价值（金额单位：元）</w:t>
            </w: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资产总额</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r>
              <w:t>3760022.00</w:t>
            </w: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1、房屋（平方米）</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　　其中：办公用房（平方米）</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2、车辆（台、辆）</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r>
              <w:t>888016.00</w:t>
            </w: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3、单价在20万元以上的设备</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4、其他固定资产</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r>
              <w:t>931</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r>
              <w:t>2872006.00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color w:val="000000"/>
          <w:sz w:val="32"/>
        </w:rPr>
        <w:t>八、名词解释</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县级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县级</w:t>
      </w:r>
      <w:r>
        <w:rPr>
          <w:rFonts w:ascii="Times New Roman" w:eastAsia="方正仿宋_GBK" w:cs="Times New Roman" w:hAnsi="Times New Roman"/>
          <w:b w:val="0"/>
          <w:color w:val="000000"/>
          <w:sz w:val="28"/>
        </w:rPr>
        <w:t>财政预算管理的“三公”经费，是指</w:t>
      </w:r>
      <w:r>
        <w:rPr>
          <w:rFonts w:eastAsia="方正仿宋_GBK" w:cs="Times New Roman" w:hint="eastAsia"/>
          <w:b w:val="0"/>
          <w:color w:val="000000"/>
          <w:sz w:val="28"/>
          <w:lang w:eastAsia="zh-CN"/>
        </w:rPr>
        <w:t>县级</w:t>
      </w:r>
      <w:r>
        <w:rPr>
          <w:rFonts w:ascii="Times New Roman" w:eastAsia="方正仿宋_GBK" w:cs="Times New Roman" w:hAnsi="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我部门无其他需要说明的事项。</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eastAsia="方正小标宋_GBK" w:cs="方正小标宋_GBK"/>
          <w:b w:val="0"/>
          <w:color w:val="000000"/>
          <w:sz w:val="44"/>
        </w:rPr>
        <w:t>一、中国共产党新乐市纪律检查委员会本级收支预算</w:t>
      </w:r>
      <w:bookmarkEnd w:id="18"/>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W w:w="14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2959"/>
        <w:gridCol w:w="2959"/>
        <w:gridCol w:w="2959"/>
        <w:gridCol w:w="2959"/>
      </w:tblGrid>
      <w:tr>
        <w:trPr>
          <w:trHeight w:val="369"/>
          <w:tblHeader/>
        </w:trPr>
        <w:tc>
          <w:tcPr>
            <w:tcW w:w="5918" w:type="dxa"/>
            <w:gridSpan w:val="2"/>
            <w:tcBorders>
              <w:top w:val="single" w:sz="6" w:space="0" w:color="FFFFFF"/>
              <w:left w:val="single" w:sz="6" w:space="0" w:color="FFFFFF"/>
              <w:bottom w:val="single" w:sz="6" w:space="0" w:color="000000"/>
              <w:right w:val="single" w:sz="6" w:space="0" w:color="FFFFFF"/>
            </w:tcBorders>
            <w:noWrap/>
            <w:vAlign w:val="center"/>
          </w:tcPr>
          <w:p>
            <w:pPr>
              <w:pStyle w:val="21"/>
            </w:pPr>
            <w:r>
              <w:t>222001中国共产党新乐市纪律检查委员会本级</w:t>
            </w:r>
          </w:p>
        </w:tc>
        <w:tc>
          <w:tcPr>
            <w:tcW w:w="2959"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5918"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2959"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5918"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收入</w:t>
            </w:r>
          </w:p>
        </w:tc>
        <w:tc>
          <w:tcPr>
            <w:tcW w:w="5918"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支出</w:t>
            </w:r>
          </w:p>
        </w:tc>
      </w:tr>
      <w:tr>
        <w:trPr>
          <w:trHeight w:val="369"/>
          <w:tblHeader/>
        </w:trPr>
        <w:tc>
          <w:tcPr>
            <w:tcW w:w="2959" w:type="dxa"/>
            <w:vMerge/>
            <w:tcBorders>
              <w:top w:val="single" w:sz="6" w:space="0" w:color="000000"/>
              <w:left w:val="single" w:sz="6" w:space="0" w:color="000000"/>
              <w:bottom w:val="single" w:sz="6" w:space="0" w:color="000000"/>
              <w:right w:val="single" w:sz="6" w:space="0" w:color="000000"/>
            </w:tcBorders>
            <w:noWrap/>
          </w:tc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2"/>
            </w:pPr>
            <w:r>
              <w:t>预算数</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2"/>
            </w:pPr>
            <w:r>
              <w:t>预算数</w:t>
            </w:r>
          </w:p>
        </w:tc>
      </w:tr>
      <w:tr>
        <w:trPr>
          <w:trHeight w:val="369"/>
          <w:tblHeader/>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一、一般公共预算拨款收入</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r>
              <w:t>13611126.00</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一、一般公共服务支出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二、政府性基金预算拨款收入</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二、外交支出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三、国有资本经营预算拨款收入</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三、国防支出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四、财政专户管理资金收入</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四、公共安全支出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五、事业收入</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五、教育支出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六、事业单位经营收入</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六、科学技术支出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七、上级补助收入</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七、文化旅游体育与传媒支出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八、附属单位上缴收入</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八、社会保障和就业支出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九、其他收入</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九、社会保险基金支出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十、卫生健康支出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十一、节能环保支出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十二、城乡社区支出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十三、农林水支出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十四、交通运输支出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十五、资源勘探工业信息等支出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十六、商业服务业等支出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十七、金融支出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十八、援助其他地区支出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十九、自然资源海洋气象等支出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二十、住房保障支出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21</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二十一、粮油物资储备支出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22</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二十二、国有资本经营预算支出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23</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二十三、灾害防治及应急管理支出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24</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二十四、预备费</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25</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二十五、其他支出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26</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二十六、转移性支出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27</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二十七、债务还本支出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28</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二十八、债务付息支出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29</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二十九、债务发行费用支出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30</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三十、抗疫特别国债安排的支出</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31</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6"/>
            </w:pPr>
            <w:r>
              <w:t>本年收入合计</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6"/>
            </w:pPr>
            <w:r>
              <w:t>本年支出合计</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32</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上年结转结余</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4"/>
            </w:pPr>
            <w:r>
              <w:t>年终结转结余</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5"/>
            </w:pPr>
            <w:r>
              <w:t>33</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6"/>
            </w:pPr>
            <w:r>
              <w:t>收入总计</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6"/>
            </w:pPr>
            <w:r>
              <w:t>支出总计</w:t>
            </w:r>
          </w:p>
        </w:tc>
        <w:tc>
          <w:tcPr>
            <w:tcW w:w="2959"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W w:w="9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rPr>
          <w:trHeight w:val="369"/>
          <w:tblHeader/>
        </w:trPr>
        <w:tc>
          <w:tcPr>
            <w:tcW w:w="3790" w:type="dxa"/>
            <w:gridSpan w:val="5"/>
            <w:tcBorders>
              <w:top w:val="single" w:sz="6" w:space="0" w:color="FFFFFF"/>
              <w:left w:val="single" w:sz="6" w:space="0" w:color="FFFFFF"/>
              <w:bottom w:val="single" w:sz="6" w:space="0" w:color="000000"/>
              <w:right w:val="single" w:sz="6" w:space="0" w:color="FFFFFF"/>
            </w:tcBorders>
            <w:noWrap/>
            <w:vAlign w:val="center"/>
          </w:tcPr>
          <w:p>
            <w:pPr>
              <w:pStyle w:val="21"/>
            </w:pPr>
            <w:r>
              <w:t>222001中国共产党新乐市纪律检查委员会本级</w:t>
            </w:r>
          </w:p>
        </w:tc>
        <w:tc>
          <w:tcPr>
            <w:tcW w:w="2274" w:type="dxa"/>
            <w:gridSpan w:val="3"/>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790" w:type="dxa"/>
            <w:gridSpan w:val="5"/>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758"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1516"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功能分类科目</w:t>
            </w:r>
          </w:p>
        </w:tc>
        <w:tc>
          <w:tcPr>
            <w:tcW w:w="758"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6064" w:type="dxa"/>
            <w:gridSpan w:val="8"/>
            <w:tcBorders>
              <w:top w:val="single" w:sz="6" w:space="0" w:color="000000"/>
              <w:left w:val="single" w:sz="6" w:space="0" w:color="000000"/>
              <w:bottom w:val="single" w:sz="6" w:space="0" w:color="000000"/>
              <w:right w:val="single" w:sz="6" w:space="0" w:color="000000"/>
            </w:tcBorders>
            <w:noWrap/>
            <w:vAlign w:val="center"/>
          </w:tcPr>
          <w:p>
            <w:pPr>
              <w:pStyle w:val="22"/>
            </w:pPr>
            <w:r>
              <w:t>本年收入</w:t>
            </w:r>
          </w:p>
        </w:tc>
        <w:tc>
          <w:tcPr>
            <w:tcW w:w="758"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上年结转</w:t>
            </w:r>
          </w:p>
        </w:tc>
      </w:tr>
      <w:tr>
        <w:trPr>
          <w:trHeight w:val="369"/>
          <w:tblHeader/>
        </w:trPr>
        <w:tc>
          <w:tcPr>
            <w:tcW w:w="758" w:type="dxa"/>
            <w:vMerge/>
            <w:tcBorders>
              <w:top w:val="single" w:sz="6" w:space="0" w:color="000000"/>
              <w:left w:val="single" w:sz="6" w:space="0" w:color="000000"/>
              <w:bottom w:val="single" w:sz="6" w:space="0" w:color="000000"/>
              <w:right w:val="single" w:sz="6" w:space="0" w:color="000000"/>
            </w:tcBorders>
            <w:noWrap/>
          </w:tc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科目    编码</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758" w:type="dxa"/>
            <w:vMerge/>
            <w:tcBorders>
              <w:top w:val="single" w:sz="6" w:space="0" w:color="000000"/>
              <w:left w:val="single" w:sz="6" w:space="0" w:color="000000"/>
              <w:bottom w:val="single" w:sz="6" w:space="0" w:color="000000"/>
              <w:right w:val="single" w:sz="6" w:space="0" w:color="000000"/>
            </w:tcBorders>
            <w:noWrap/>
          </w:tc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小计</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财政拨款 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财政专户 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事业收入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经营收入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上级补助收入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附属单位上缴收入</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其他收入</w:t>
            </w:r>
          </w:p>
        </w:tc>
        <w:tc>
          <w:tcPr>
            <w:tcW w:w="758" w:type="dxa"/>
            <w:vMerge/>
            <w:tcBorders>
              <w:top w:val="single" w:sz="6" w:space="0" w:color="000000"/>
              <w:left w:val="single" w:sz="6" w:space="0" w:color="000000"/>
              <w:bottom w:val="single" w:sz="6" w:space="0" w:color="000000"/>
              <w:right w:val="single" w:sz="6" w:space="0" w:color="000000"/>
            </w:tcBorders>
            <w:noWrap/>
          </w:tcPr>
          <w:p/>
        </w:tc>
      </w:tr>
      <w:tr>
        <w:trPr>
          <w:trHeight w:val="369"/>
          <w:tblHeader/>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6</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7</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8</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9</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10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11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2"/>
            </w:pPr>
            <w:r>
              <w:t>12</w:t>
            </w: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8"/>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6"/>
            </w:pPr>
            <w:r>
              <w:t>合计</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7"/>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一般公共服务支出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20111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纪检监察事务</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2011101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行政运行</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教育支出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20508</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进修及培训</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2050803</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培训支出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社会保障和就业支出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20805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行政事业单位养老支出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2080501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行政单位离退休</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2080505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机关事业单位基本养老保险缴费支出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2080506</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机关事业单位职业年金缴费支出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20899</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2089999</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210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卫生健康支出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21011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行政事业单位医疗</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2101101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行政单位医疗</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221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住房保障支出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22102</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住房改革支出</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2210201</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4"/>
            </w:pPr>
            <w:r>
              <w:t>住房公积金</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758"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rPr>
          <w:trHeight w:val="369"/>
          <w:tblHeader/>
        </w:trPr>
        <w:tc>
          <w:tcPr>
            <w:tcW w:w="3285"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222001中国共产党新乐市纪律检查委员会本级</w:t>
            </w:r>
          </w:p>
        </w:tc>
        <w:tc>
          <w:tcPr>
            <w:tcW w:w="2190" w:type="dxa"/>
            <w:gridSpan w:val="2"/>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4380" w:type="dxa"/>
            <w:gridSpan w:val="4"/>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2190"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功能分类科目</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基本支出</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项目支出</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经营支出</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上解上级     支出</w:t>
            </w:r>
          </w:p>
        </w:tc>
        <w:tc>
          <w:tcPr>
            <w:tcW w:w="1095"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对附属单位补助支出</w:t>
            </w:r>
          </w:p>
        </w:tc>
      </w:tr>
      <w:tr>
        <w:trPr>
          <w:trHeight w:val="369"/>
          <w:tblHeader/>
        </w:trPr>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科目    编码</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vMerge/>
            <w:tcBorders>
              <w:top w:val="single" w:sz="6" w:space="0" w:color="000000"/>
              <w:left w:val="single" w:sz="6" w:space="0" w:color="000000"/>
              <w:bottom w:val="single" w:sz="6" w:space="0" w:color="000000"/>
              <w:right w:val="single" w:sz="6" w:space="0" w:color="000000"/>
            </w:tcBorders>
            <w:noWrap/>
          </w:tcPr>
          <w:p/>
        </w:tc>
        <w:tc>
          <w:tcPr>
            <w:tcW w:w="1095" w:type="dxa"/>
            <w:vMerge/>
            <w:tcBorders>
              <w:top w:val="single" w:sz="6" w:space="0" w:color="000000"/>
              <w:left w:val="single" w:sz="6" w:space="0" w:color="000000"/>
              <w:bottom w:val="single" w:sz="6" w:space="0" w:color="000000"/>
              <w:right w:val="single" w:sz="6" w:space="0" w:color="000000"/>
            </w:tcBorders>
            <w:noWrap/>
          </w:tcPr>
          <w:p/>
        </w:tc>
      </w:tr>
      <w:tr>
        <w:trPr>
          <w:trHeight w:val="369"/>
          <w:tblHeader/>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6</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7</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2"/>
            </w:pPr>
            <w:r>
              <w:t>8</w:t>
            </w: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8"/>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6"/>
            </w:pPr>
            <w:r>
              <w:t>合计</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r>
              <w:t>9951126.00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r>
              <w:t>3660000.00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7"/>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一般公共服务支出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20111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纪检监察事务</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2011101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行政运行</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教育支出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20508</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进修及培训</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2050803</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培训支出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社会保障和就业支出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20805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行政事业单位养老支出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2080501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行政单位离退休</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2080505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机关事业单位基本养老保险缴费支出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2080506</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机关事业单位职业年金缴费支出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20899</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2089999</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210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卫生健康支出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21011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行政事业单位医疗</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2101101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行政单位医疗</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221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住房保障支出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22102</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住房改革支出</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2210201</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4"/>
            </w:pPr>
            <w:r>
              <w:t>住房公积金</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095"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tblHeader/>
        </w:trPr>
        <w:tc>
          <w:tcPr>
            <w:tcW w:w="3696"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222001中国共产党新乐市纪律检查委员会本级</w:t>
            </w:r>
          </w:p>
        </w:tc>
        <w:tc>
          <w:tcPr>
            <w:tcW w:w="1232"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4928" w:type="dxa"/>
            <w:gridSpan w:val="4"/>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232"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2464"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收入</w:t>
            </w:r>
          </w:p>
        </w:tc>
        <w:tc>
          <w:tcPr>
            <w:tcW w:w="6160" w:type="dxa"/>
            <w:gridSpan w:val="5"/>
            <w:tcBorders>
              <w:top w:val="single" w:sz="6" w:space="0" w:color="000000"/>
              <w:left w:val="single" w:sz="6" w:space="0" w:color="000000"/>
              <w:bottom w:val="single" w:sz="6" w:space="0" w:color="000000"/>
              <w:right w:val="single" w:sz="6" w:space="0" w:color="000000"/>
            </w:tcBorders>
            <w:noWrap/>
            <w:vAlign w:val="center"/>
          </w:tcPr>
          <w:p>
            <w:pPr>
              <w:pStyle w:val="22"/>
            </w:pPr>
            <w:r>
              <w:t>支出</w:t>
            </w:r>
          </w:p>
        </w:tc>
      </w:tr>
      <w:tr>
        <w:trPr>
          <w:trHeight w:val="369"/>
          <w:tblHeader/>
        </w:trPr>
        <w:tc>
          <w:tcPr>
            <w:tcW w:w="1232" w:type="dxa"/>
            <w:vMerge/>
            <w:tcBorders>
              <w:top w:val="single" w:sz="6" w:space="0" w:color="000000"/>
              <w:left w:val="single" w:sz="6" w:space="0" w:color="000000"/>
              <w:bottom w:val="single" w:sz="6" w:space="0" w:color="000000"/>
              <w:right w:val="single" w:sz="6" w:space="0" w:color="000000"/>
            </w:tcBorders>
            <w:noWrap/>
          </w:tc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金额</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一般公共预算财政拨款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政府性基金预算财政    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国有资本经营预算财政拨款</w:t>
            </w:r>
          </w:p>
        </w:tc>
      </w:tr>
      <w:tr>
        <w:trPr>
          <w:trHeight w:val="369"/>
          <w:tblHeader/>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6</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2"/>
            </w:pPr>
            <w:r>
              <w:t>7</w:t>
            </w: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一、一般公共预算拨款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一、一般公共服务支出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二、政府性基金预算拨款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二、外交支出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三、国有资本经营预算拨款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三、国防支出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四、公共安全支出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五、教育支出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六、科学技术支出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七、文化旅游体育与传媒支出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八、社会保障和就业支出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九、社会保险基金支出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十、卫生健康支出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十一、节能环保支出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十二、城乡社区支出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十三、农林水支出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十四、交通运输支出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十五、资源勘探工业信息等支出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十六、商业服务业等支出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十七、金融支出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十八、援助其他地区支出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十九、自然资源海洋气象等支出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二十、住房保障支出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21</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二十一、粮油物资储备支出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22</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二十二、国有资本经营预算支出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23</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二十三、灾害防治及应急管理支出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24</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二十四、预备费</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25</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二十五、其他支出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26</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二十六、转移性支出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27</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二十七、债务还本支出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28</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二十八、债务付息支出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29</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二十九、债务发行费用支出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三十、抗疫特别国债安排的支出</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31</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6"/>
            </w:pPr>
            <w:r>
              <w:t>本年收入合计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6"/>
            </w:pPr>
            <w:r>
              <w:t>本年支出合计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32</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年初财政拨款结转和结余</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年末财政拨款结转和结余</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33</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一、一般公共预算拨款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34</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二、政府性基金预算拨款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35</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r>
              <w:t>三、国有资本经营预算拨款</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5"/>
            </w:pPr>
            <w:r>
              <w:t>36</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6"/>
            </w:pPr>
            <w:r>
              <w:t>收入总计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6"/>
            </w:pPr>
            <w:r>
              <w:t>支出总计</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1232" w:type="dxa"/>
            <w:tcBorders>
              <w:top w:val="single" w:sz="6" w:space="0" w:color="000000"/>
              <w:left w:val="single" w:sz="6" w:space="0" w:color="000000"/>
              <w:bottom w:val="single" w:sz="6" w:space="0" w:color="000000"/>
              <w:right w:val="single" w:sz="6" w:space="0" w:color="000000"/>
            </w:tcBorders>
            <w:noWrap/>
            <w:vAlign w:val="center"/>
          </w:tcPr>
          <w:p>
            <w:pPr>
              <w:pStyle w:val="27"/>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222001中国共产党新乐市纪律检查委员会本级</w:t>
            </w:r>
          </w:p>
        </w:tc>
        <w:tc>
          <w:tcPr>
            <w:tcW w:w="1643"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28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3286"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基本支出</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项目支出</w:t>
            </w:r>
          </w:p>
        </w:tc>
      </w:tr>
      <w:tr>
        <w:trPr>
          <w:trHeight w:val="369"/>
          <w:tblHeader/>
        </w:trPr>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科目编码</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r>
      <w:tr>
        <w:trPr>
          <w:trHeight w:val="369"/>
          <w:tblHeader/>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8"/>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6"/>
            </w:pPr>
            <w:r>
              <w:t>合计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13611126.00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9951126.00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3660000.00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一般公共服务支出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20111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纪检监察事务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2011101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行政运行</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11450316.00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7790316.00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教育支出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20508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进修及培训</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2050803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培训支出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社会保障和就业支出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1080810.00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20805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行政事业单位养老支出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1056210.00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2080501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行政单位离退休</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2080505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机关事业单位基本养老保险缴费支出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2080506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机关事业单位职业年金缴费支出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20899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2089999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其他社会保障和就业支出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210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卫生健康支出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21011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行政事业单位医疗</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2101101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行政单位医疗</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221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住房保障支出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22102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住房改革支出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2210201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住房公积金</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222001中国共产党新乐市纪律检查委员会本级</w:t>
            </w:r>
          </w:p>
        </w:tc>
        <w:tc>
          <w:tcPr>
            <w:tcW w:w="1643"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28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3286"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支出部门经济分类科目</w:t>
            </w:r>
          </w:p>
        </w:tc>
        <w:tc>
          <w:tcPr>
            <w:tcW w:w="4929" w:type="dxa"/>
            <w:gridSpan w:val="3"/>
            <w:tcBorders>
              <w:top w:val="single" w:sz="6" w:space="0" w:color="000000"/>
              <w:left w:val="single" w:sz="6" w:space="0" w:color="000000"/>
              <w:bottom w:val="single" w:sz="6" w:space="0" w:color="000000"/>
              <w:right w:val="single" w:sz="6" w:space="0" w:color="000000"/>
            </w:tcBorders>
            <w:noWrap/>
            <w:vAlign w:val="center"/>
          </w:tcPr>
          <w:p>
            <w:pPr>
              <w:pStyle w:val="22"/>
            </w:pPr>
            <w:r>
              <w:t>一般公共预算基本支出</w:t>
            </w:r>
          </w:p>
        </w:tc>
      </w:tr>
      <w:tr>
        <w:trPr>
          <w:trHeight w:val="369"/>
          <w:tblHeader/>
        </w:trPr>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科目编码</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人员经费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公用经费</w:t>
            </w:r>
          </w:p>
        </w:tc>
      </w:tr>
      <w:tr>
        <w:trPr>
          <w:trHeight w:val="369"/>
          <w:tblHeader/>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8"/>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6"/>
            </w:pPr>
            <w:r>
              <w:t>合计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9951126.00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8634322.00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1316804.00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工资福利支出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8335232.00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8335232.00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基本工资</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3332208.00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3332208.00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津贴补贴</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1183536.00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1183536.00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奖金</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1867318.00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1867318.00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绩效工资</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100450.00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100450.00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机关事业单位基本养老保险缴费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727120.00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30109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职业年金缴费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30110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职工基本医疗保险缴费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390000.00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30112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其他社会保障缴费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24600.00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30113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住房公积金</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商品和服务支出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993622.00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993622.00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办公费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130658.00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130658.00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印刷费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80000.00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80000.00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手续费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15000.00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15000.00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电费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176000.00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176000.00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30207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邮电费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30211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差旅费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30213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维修(护)费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30215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会议费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30216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培训费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30228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工会经费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43212.00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43212.00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30229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福利费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60250.00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60250.00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30231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公务用车运行维护费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206000.00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30299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其他商品和服务支出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46502.00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46502.00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对个人和家庭的补助</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30302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退休费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299090.00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29</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310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资本性支出</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323182.00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323182.00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30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31002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办公设备购置</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100000.00</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31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31003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专用设备购置</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223182.00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223182.00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222001中国共产党新乐市纪律检查委员会本级</w:t>
            </w:r>
          </w:p>
        </w:tc>
        <w:tc>
          <w:tcPr>
            <w:tcW w:w="1643"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28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3286"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基本支出</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项目支出</w:t>
            </w:r>
          </w:p>
        </w:tc>
      </w:tr>
      <w:tr>
        <w:trPr>
          <w:trHeight w:val="369"/>
          <w:tblHeader/>
        </w:trPr>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科目编码</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r>
      <w:tr>
        <w:trPr>
          <w:trHeight w:val="369"/>
          <w:tblHeader/>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222001中国共产党新乐市纪律检查委员会本级</w:t>
            </w:r>
          </w:p>
        </w:tc>
        <w:tc>
          <w:tcPr>
            <w:tcW w:w="1643"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28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3286"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基本支出</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项目支出</w:t>
            </w:r>
          </w:p>
        </w:tc>
      </w:tr>
      <w:tr>
        <w:trPr>
          <w:trHeight w:val="369"/>
          <w:tblHeader/>
        </w:trPr>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科目编码</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科目名称</w:t>
            </w: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r>
      <w:tr>
        <w:trPr>
          <w:trHeight w:val="369"/>
          <w:tblHeader/>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r>
      <w:tr>
        <w:trPr>
          <w:trHeight w:val="369"/>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W w:w="9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rPr>
          <w:trHeight w:val="369"/>
          <w:tblHeader/>
        </w:trPr>
        <w:tc>
          <w:tcPr>
            <w:tcW w:w="4929" w:type="dxa"/>
            <w:gridSpan w:val="3"/>
            <w:tcBorders>
              <w:top w:val="single" w:sz="6" w:space="0" w:color="FFFFFF"/>
              <w:left w:val="single" w:sz="6" w:space="0" w:color="FFFFFF"/>
              <w:bottom w:val="single" w:sz="6" w:space="0" w:color="000000"/>
              <w:right w:val="single" w:sz="6" w:space="0" w:color="FFFFFF"/>
            </w:tcBorders>
            <w:noWrap/>
            <w:vAlign w:val="center"/>
          </w:tcPr>
          <w:p>
            <w:pPr>
              <w:pStyle w:val="21"/>
            </w:pPr>
            <w:r>
              <w:t>222001中国共产党新乐市纪律检查委员会本级</w:t>
            </w:r>
          </w:p>
        </w:tc>
        <w:tc>
          <w:tcPr>
            <w:tcW w:w="1643" w:type="dxa"/>
            <w:tcBorders>
              <w:top w:val="single" w:sz="6" w:space="0" w:color="FFFFFF"/>
              <w:left w:val="single" w:sz="6" w:space="0" w:color="FFFFFF"/>
              <w:bottom w:val="single" w:sz="6" w:space="0" w:color="000000"/>
              <w:right w:val="single" w:sz="6" w:space="0" w:color="FFFFFF"/>
            </w:tcBorders>
            <w:noWrap/>
            <w:vAlign w:val="center"/>
          </w:tcPr>
          <w:p>
            <w:pPr>
              <w:pStyle w:val="20"/>
            </w:pPr>
            <w:r>
              <w:t>预算年度：2022</w:t>
            </w:r>
          </w:p>
        </w:tc>
        <w:tc>
          <w:tcPr>
            <w:tcW w:w="328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单位：元</w:t>
            </w:r>
          </w:p>
        </w:tc>
      </w:tr>
      <w:tr>
        <w:trPr>
          <w:trHeight w:val="369"/>
          <w:tblHeader/>
        </w:trPr>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序号</w:t>
            </w:r>
          </w:p>
        </w:tc>
        <w:tc>
          <w:tcPr>
            <w:tcW w:w="1643"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6572" w:type="dxa"/>
            <w:gridSpan w:val="4"/>
            <w:tcBorders>
              <w:top w:val="single" w:sz="6" w:space="0" w:color="000000"/>
              <w:left w:val="single" w:sz="6" w:space="0" w:color="000000"/>
              <w:bottom w:val="single" w:sz="6" w:space="0" w:color="000000"/>
              <w:right w:val="single" w:sz="6" w:space="0" w:color="000000"/>
            </w:tcBorders>
            <w:noWrap/>
            <w:vAlign w:val="center"/>
          </w:tcPr>
          <w:p>
            <w:pPr>
              <w:pStyle w:val="22"/>
            </w:pPr>
            <w:r>
              <w:t>资 金 性 质</w:t>
            </w:r>
          </w:p>
        </w:tc>
      </w:tr>
      <w:tr>
        <w:trPr>
          <w:trHeight w:val="567"/>
          <w:tblHeader/>
        </w:trPr>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vMerge/>
            <w:tcBorders>
              <w:top w:val="single" w:sz="6" w:space="0" w:color="000000"/>
              <w:left w:val="single" w:sz="6" w:space="0" w:color="000000"/>
              <w:bottom w:val="single" w:sz="6" w:space="0" w:color="000000"/>
              <w:right w:val="single" w:sz="6" w:space="0" w:color="000000"/>
            </w:tcBorders>
            <w:noWrap/>
          </w:tc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一般公共预算              财政拨款</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政府性基金                  预算拨款</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国有资本经营              预算财政拨款</w:t>
            </w:r>
          </w:p>
        </w:tc>
      </w:tr>
      <w:tr>
        <w:trPr>
          <w:trHeight w:val="567"/>
          <w:tblHeader/>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栏次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2"/>
            </w:pPr>
            <w:r>
              <w:t>5</w:t>
            </w: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1</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6"/>
            </w:pPr>
            <w:r>
              <w:t>“三公”经费小计</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366000.00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r>
              <w:t>366000.00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7"/>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2</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一、因公出国（境）费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3</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 xml:space="preserve">    其中：教学科研人员因公出国（境）费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4</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 xml:space="preserve">          其他因公出国（境）费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5</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二、公务用车购置及运维费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366000.00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6</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 xml:space="preserve">    其中：公务用车购置费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160000.00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160000.00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7</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 xml:space="preserve">          公务用车运行维护费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r>
              <w:t>206000.00</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rPr>
          <w:trHeight w:val="567"/>
        </w:trPr>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5"/>
            </w:pPr>
            <w:r>
              <w:t>8</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4"/>
            </w:pPr>
            <w:r>
              <w:t>三、公务接待费</w:t>
            </w: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164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中国共产党新乐市纪律检查委员会本级2022年单位预算信息公开情况说明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按照《预算法》、《地方预决算公开操作规程》和《关于进一步推进预算公开工作的实施意见》规定，现将中国共产党新乐市纪律检查委员会本级2022年单位预算公开如下：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37"/>
      </w:pPr>
      <w:r>
        <w:t>单位职责：</w:t>
      </w:r>
    </w:p>
    <w:p>
      <w:pPr>
        <w:pStyle w:val="37"/>
      </w:pPr>
      <w:r>
        <w:t>中国共产党新乐市纪律检查委员会主要职能职责。中共新乐市纪律检查委员会、新乐市监察委员会机关合署办公，实行一套工作机构、两个机关名称，履行纪检、监察两项职能。</w:t>
      </w:r>
    </w:p>
    <w:p>
      <w:pPr>
        <w:pStyle w:val="37"/>
      </w:pPr>
      <w:r>
        <w:t>纪检职责：</w:t>
      </w:r>
    </w:p>
    <w:p>
      <w:pPr>
        <w:pStyle w:val="37"/>
      </w:pPr>
      <w:r>
        <w:t>　　维护党的章程和其他党内法规，协助党的委员会加强党风建设，检查党的路线方针政策和决议的执行情况；对党员进行遵守纪律的教育，作出关于维护党纪的决定；检查和处理党的组织和党员违反党章和其他党内法规的比较重要或复杂的案件，决定或取消对这些案件中党员的处分；受理党员的控告和申诉等。</w:t>
      </w:r>
    </w:p>
    <w:p>
      <w:pPr>
        <w:pStyle w:val="37"/>
      </w:pPr>
      <w:r>
        <w:t>监察职责</w:t>
      </w:r>
    </w:p>
    <w:p>
      <w:pPr>
        <w:pStyle w:val="37"/>
      </w:pPr>
      <w:r>
        <w:t>　监察委员会依照《中华人民共和国行政监察法》和有关法律规定履行监督、调查、处置职责：</w:t>
      </w:r>
    </w:p>
    <w:p>
      <w:pPr>
        <w:pStyle w:val="37"/>
      </w:pPr>
      <w:r>
        <w:t>　对公职人员开展廉政教育，对其依法履职、秉公用权、廉洁从政从业以及道德操守情况进行监督检查；</w:t>
      </w:r>
    </w:p>
    <w:p>
      <w:pPr>
        <w:pStyle w:val="37"/>
      </w:pPr>
      <w:r>
        <w:t>　对涉嫌贪污贿赂、滥用职权、玩忽职守、权力寻租、利益输送、徇私舞弊以及浪费国家资财等职务违法和职务犯罪进行调查；</w:t>
      </w:r>
    </w:p>
    <w:p>
      <w:pPr>
        <w:pStyle w:val="37"/>
      </w:pPr>
      <w:r>
        <w:t>　对违法的公职人员依法作出政务处分决定；对履行职责不力、失职失责的领导人员进行问责；对涉嫌职务犯罪的，将调查结果移送人民检察院依法审查、提起公诉；向监察对象所在单位提出监察建议。</w:t>
      </w:r>
    </w:p>
    <w:p>
      <w:pPr>
        <w:pStyle w:val="37"/>
      </w:pPr>
      <w:r>
        <w:t>支持配合巡视、巡察工作。承担巡视、巡察整改日常监督责任，做好巡视、巡察整改督查督办工作，依规依纪依法处置巡视、巡察移交的反映领导干部问题线索。</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W w:w="9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4"/>
        <w:gridCol w:w="2464"/>
        <w:gridCol w:w="2464"/>
        <w:gridCol w:w="2464"/>
      </w:tblGrid>
      <w:tr>
        <w:trPr>
          <w:trHeight w:val="567"/>
          <w:tblHeader/>
        </w:trPr>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2"/>
            </w:pPr>
            <w:r>
              <w:t>单位名称</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2"/>
            </w:pPr>
            <w:r>
              <w:t>单位性质</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2"/>
            </w:pPr>
            <w:r>
              <w:t>单位规格</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2"/>
            </w:pPr>
            <w:r>
              <w:t>经费保障形式</w:t>
            </w:r>
          </w:p>
        </w:tc>
      </w:tr>
      <w:tr>
        <w:trPr>
          <w:trHeight w:val="369"/>
        </w:trPr>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4"/>
            </w:pPr>
            <w:r>
              <w:t>中国共产党新乐市纪律检查委员会本级</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5"/>
            </w:pPr>
            <w:r>
              <w:t>行政</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5"/>
            </w:pPr>
            <w:r>
              <w:t>正科级</w:t>
            </w:r>
          </w:p>
        </w:tc>
        <w:tc>
          <w:tcPr>
            <w:tcW w:w="2464" w:type="dxa"/>
            <w:tcBorders>
              <w:top w:val="single" w:sz="6" w:space="0" w:color="000000"/>
              <w:left w:val="single" w:sz="6" w:space="0" w:color="000000"/>
              <w:bottom w:val="single" w:sz="6" w:space="0" w:color="000000"/>
              <w:right w:val="single" w:sz="6" w:space="0" w:color="000000"/>
            </w:tcBorders>
            <w:noWrap/>
            <w:vAlign w:val="center"/>
          </w:tcPr>
          <w:p>
            <w:pPr>
              <w:pStyle w:val="25"/>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按照预算管理有关规定，目前我省单位预算的编制实行综合预算管理，即全部收入和支出都反映在预算中。</w:t>
      </w:r>
    </w:p>
    <w:p>
      <w:pPr>
        <w:pStyle w:val="38"/>
      </w:pPr>
      <w:r>
        <w:t>单位预算安排的总体情况</w:t>
      </w:r>
    </w:p>
    <w:p>
      <w:pPr>
        <w:pStyle w:val="38"/>
      </w:pPr>
      <w:r>
        <w:t>按照预算管理有关规定，目前我省部门预算的编制实行综合预算管理，即全部收入和支出都反映在预算中。新乐市纪检委机关及所属事业单位的收支包含在部门预算中。</w:t>
      </w:r>
    </w:p>
    <w:p>
      <w:pPr>
        <w:pStyle w:val="38"/>
        <w:rPr>
          <w:rFonts w:hint="eastAsia"/>
        </w:rPr>
      </w:pPr>
      <w:r>
        <w:rPr>
          <w:rFonts w:hint="eastAsia"/>
        </w:rPr>
        <w:t>1、收入说明，2022年预算收入1361.1126万元，其中：一般公共预算收入1361.1126万元，基金预算收入0万元，财政专户核拨收入0万元，其他来源收入0万元，上年结转结余0万元。</w:t>
      </w:r>
    </w:p>
    <w:p>
      <w:pPr>
        <w:pStyle w:val="38"/>
        <w:rPr>
          <w:rFonts w:hint="eastAsia"/>
        </w:rPr>
      </w:pPr>
      <w:r>
        <w:rPr>
          <w:rFonts w:hint="eastAsia"/>
        </w:rPr>
        <w:t>2、支出说明，收支预算总表支出栏、基本支出表、项目支出表按经济分类和支出功能分类科目编制，反映新乐市纪检委预算中支出预算的总体情况。2022年支出预算1206.55万元，其中基本支出995.1126万元，包括人员经费863.4322万元和日常公用经费131.6804万元；项目支出366万元，主要为纪律检查、纪检事务管理等；其他支出0万元。</w:t>
      </w:r>
    </w:p>
    <w:p>
      <w:pPr>
        <w:pStyle w:val="38"/>
      </w:pPr>
      <w:r>
        <w:rPr>
          <w:rFonts w:hint="eastAsia"/>
        </w:rPr>
        <w:t>3、比上年增减情况，2022年预算收支安排1361.1126万元，较2021年预算增加154.5626万元，其中：基本支出增加154.5626万元，主要为增加人员经费；项目支出与上年相比持平，无增减变化。</w:t>
      </w:r>
    </w:p>
    <w:p>
      <w:pPr>
        <w:pStyle w:val="38"/>
      </w:pPr>
      <w:r>
        <w:t>一、一般公共服务支出 1146.0316万元</w:t>
      </w:r>
    </w:p>
    <w:p>
      <w:pPr>
        <w:pStyle w:val="38"/>
      </w:pPr>
      <w:r>
        <w:t>二、社会保障和就业支出 108.081万元</w:t>
      </w:r>
    </w:p>
    <w:p>
      <w:pPr>
        <w:pStyle w:val="38"/>
      </w:pPr>
      <w:r>
        <w:t>三、卫生健康支出 39万元</w:t>
      </w:r>
    </w:p>
    <w:p>
      <w:pPr>
        <w:pStyle w:val="38"/>
      </w:pPr>
      <w:r>
        <w:t>四、住房保障支出 68万元</w:t>
      </w:r>
    </w:p>
    <w:p>
      <w:pPr>
        <w:pStyle w:val="38"/>
      </w:pPr>
      <w:r>
        <w:t>支出总计 1361.1126万元</w:t>
      </w:r>
    </w:p>
    <w:p>
      <w:pPr>
        <w:pStyle w:val="38"/>
      </w:pPr>
      <w:r>
        <w:t>一般公共预算拨款收入 1361.1126万元</w:t>
      </w:r>
    </w:p>
    <w:p>
      <w:pPr>
        <w:pStyle w:val="38"/>
      </w:pPr>
    </w:p>
    <w:p>
      <w:pPr>
        <w:pStyle w:val="38"/>
      </w:pPr>
    </w:p>
    <w:p>
      <w:pPr>
        <w:spacing w:before="10" w:after="10" w:line="240" w:lineRule="auto"/>
        <w:ind w:firstLine="640"/>
        <w:jc w:val="left"/>
        <w:outlineLvl w:val="5"/>
      </w:pPr>
      <w:r>
        <w:rPr>
          <w:rFonts w:ascii="黑体" w:eastAsia="黑体" w:cs="黑体"/>
          <w:color w:val="000000"/>
          <w:sz w:val="32"/>
        </w:rPr>
        <w:t>三、机关运行经费安排情况</w:t>
      </w:r>
    </w:p>
    <w:p>
      <w:pPr>
        <w:pStyle w:val="39"/>
      </w:pPr>
      <w:r>
        <w:t>机关运行经费安排情况</w:t>
      </w:r>
    </w:p>
    <w:p>
      <w:pPr>
        <w:pStyle w:val="39"/>
      </w:pPr>
      <w:r>
        <w:t>单位：万元</w:t>
      </w:r>
    </w:p>
    <w:p>
      <w:pPr>
        <w:pStyle w:val="39"/>
      </w:pPr>
      <w:r>
        <w:rPr>
          <w:rFonts w:hint="eastAsia"/>
        </w:rPr>
        <w:t>2022年，新乐市纪检委机关运行经费共计安排99.3622万元，主要用于日常维修、办公用房水电费、办公用房取暖费、办公用房物业管理费等日常运行支出。</w:t>
      </w:r>
    </w:p>
    <w:p>
      <w:pPr>
        <w:pStyle w:val="39"/>
      </w:pP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0"/>
      </w:pPr>
      <w:r>
        <w:rPr>
          <w:rFonts w:hint="eastAsia"/>
        </w:rPr>
        <w:t>2022年，新乐市纪检委财政拨款“三公”经费预算安排36.6万元，其中因公出国（境）费0万元；公务用车购置及运维费36.6万元（其中：公务用车购置费为16万元，公务用车运维费20.6万元)；公务接待费0万元。因公出国（境）费0万元，与上年相比持平，无增减变化，主要原因是年初没有安排因公出国费；公务用车购置及运行维护费36.6万元(其中公务用车购16万元，公务用车运行维护费20.6万元）,与上年相比增加，增加2.5万元，主要原因是公务用车老旧无法继续使用，欲报废更换一辆执法执勤公务用车；(其中公务用车购置较上年增加，增加16万元；公务用车运行维护费与上年相比持平，无增减变化；公务接待费0万元，与上年相比持平，无增减变化。</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五、预算绩效信息</w:t>
      </w:r>
    </w:p>
    <w:p>
      <w:pPr>
        <w:spacing w:before="0" w:after="0"/>
        <w:ind w:firstLine="560"/>
        <w:jc w:val="left"/>
        <w:outlineLvl w:val="9"/>
      </w:pPr>
      <w:r>
        <w:rPr>
          <w:rFonts w:ascii="方正仿宋_GBK" w:eastAsia="方正仿宋_GBK" w:cs="方正仿宋_GBK"/>
          <w:b/>
          <w:color w:val="000000"/>
          <w:sz w:val="28"/>
        </w:rPr>
        <w:t>1、2022年本级支出-办公经费绩效目标表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1.确保日常办公正常运转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人员办公所需</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保障所有人员办公费用支出</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办公质量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保障办公基本质量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保障办公用品配备及时</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严控配备标准不超标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满意程度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2、2022年本级支出-办公设备购置费绩效目标表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1.确保日常办公正常运转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人员办公所需</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保障所有人员办公设备基本需求</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办公质量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保障办公基本质量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保障办公设备配备及时</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严控配置标准不超标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满意程度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3、2022年本级支出-车辆购置费绩效目标表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1.确保日常工作正常督查、检查工作的开展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人员办公所需</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保障工作开展</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督查、检查质量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保障基本质量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督查检查及时率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严控配备标准不超标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≥100%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满意程度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4、2022年本级支出-福利费绩效目标表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1.确保机关食堂补贴和职工基本福利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职工福利人数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惠及职工人数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≥100%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质量达标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质量达标率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按时保障</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严控配备标准不超标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满意程度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5、2022年本级支出-纪检办案经费绩效目标表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1.确保纪检办案工资正常进行</w:t>
            </w:r>
          </w:p>
          <w:p>
            <w:pPr>
              <w:pStyle w:val="24"/>
            </w:pPr>
            <w:r>
              <w:t>2.提高办案效率</w:t>
            </w:r>
          </w:p>
          <w:p>
            <w:pPr>
              <w:pStyle w:val="24"/>
            </w:pPr>
            <w:r>
              <w:t>3.提高办案质量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办案数量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办案数量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办案质量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办案完结情况</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办案时效</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严控配备标准不超标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满意程度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6、2022年本级支出-劳务费绩效目标表</w:t>
      </w:r>
    </w:p>
    <w:tbl>
      <w:tblPr>
        <w:jc w:val="center"/>
        <w:tblW w:w="14798" w:type="dxa"/>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7399"/>
      </w:tblGrid>
      <w:tr>
        <w:trPr>
          <w:trHeight w:val="397"/>
        </w:trPr>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2"/>
            </w:pPr>
            <w:r>
              <w:t>绩效目标</w:t>
            </w:r>
          </w:p>
        </w:tc>
        <w:tc>
          <w:tcPr>
            <w:tcW w:w="7399" w:type="dxa"/>
            <w:tcBorders>
              <w:top w:val="single" w:sz="4" w:space="0" w:color="auto"/>
              <w:left w:val="single" w:sz="6" w:space="0" w:color="000000"/>
              <w:bottom w:val="single" w:sz="6" w:space="0" w:color="FFFFFF"/>
              <w:right w:val="single" w:sz="6" w:space="0" w:color="000000"/>
            </w:tcBorders>
            <w:noWrap/>
            <w:vAlign w:val="center"/>
          </w:tcPr>
          <w:p>
            <w:pPr>
              <w:pStyle w:val="24"/>
            </w:pPr>
            <w:r>
              <w:t>1.确保日常办公正常运转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4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一级指标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二级指标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三级指标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绩效指标描述</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2"/>
            </w:pPr>
            <w:r>
              <w:t>指标值确定依据</w:t>
            </w:r>
          </w:p>
        </w:tc>
      </w:tr>
      <w:tr>
        <w:trPr>
          <w:trHeight w:val="397"/>
        </w:trPr>
        <w:tc>
          <w:tcPr>
            <w:tcW w:w="2466"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5"/>
            </w:pPr>
            <w:r>
              <w:t>产出指标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数量指标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人员基本需求</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保障办公所需基本人员</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≥100%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质量指标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工作质量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达到工作标准质量</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时效指标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及时性</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人员配备及时</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vMerge/>
            <w:tcBorders>
              <w:top w:val="single" w:sz="6" w:space="0" w:color="000000"/>
              <w:left w:val="single" w:sz="6" w:space="0" w:color="000000"/>
              <w:bottom w:val="single" w:sz="6" w:space="0" w:color="000000"/>
              <w:right w:val="single" w:sz="6" w:space="0" w:color="000000"/>
            </w:tcBorders>
            <w:noWrap/>
            <w:vAlign w:val="center"/>
          </w:tcP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成本指标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配备标准</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严控配备标准不超标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效益指标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可持续影响指标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可持续服务</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≥80%</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r>
        <w:trPr>
          <w:trHeight w:val="397"/>
        </w:trPr>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5"/>
            </w:pPr>
            <w:r>
              <w:t>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服务对象满意度指标</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满意度</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r>
              <w:t>≥95%</w:t>
            </w:r>
          </w:p>
        </w:tc>
        <w:tc>
          <w:tcPr>
            <w:tcW w:w="2466" w:type="dxa"/>
            <w:tcBorders>
              <w:top w:val="single" w:sz="6" w:space="0" w:color="000000"/>
              <w:left w:val="single" w:sz="6" w:space="0" w:color="000000"/>
              <w:bottom w:val="single" w:sz="6" w:space="0" w:color="000000"/>
              <w:right w:val="single" w:sz="6" w:space="0" w:color="000000"/>
            </w:tcBorders>
            <w:noWrap/>
            <w:vAlign w:val="center"/>
          </w:tcPr>
          <w:p>
            <w:pPr>
              <w:pStyle w:val="24"/>
            </w:pP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2022年，中国共产党新乐市纪律检查委员会本级安排政府采购预算0.00元。具体内容见下表。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W w:w="147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trPr>
        <w:tc>
          <w:tcPr>
            <w:tcW w:w="6468" w:type="dxa"/>
            <w:gridSpan w:val="7"/>
            <w:tcBorders>
              <w:top w:val="single" w:sz="6" w:space="0" w:color="FFFFFF"/>
              <w:left w:val="single" w:sz="6" w:space="0" w:color="FFFFFF"/>
              <w:bottom w:val="single" w:sz="6" w:space="0" w:color="000000"/>
              <w:right w:val="single" w:sz="6" w:space="0" w:color="FFFFFF"/>
            </w:tcBorders>
            <w:noWrap/>
            <w:vAlign w:val="center"/>
          </w:tcPr>
          <w:p>
            <w:pPr>
              <w:pStyle w:val="21"/>
            </w:pPr>
            <w:r>
              <w:t>222001中国共产党新乐市纪律检查委员会本级</w:t>
            </w:r>
          </w:p>
        </w:tc>
        <w:tc>
          <w:tcPr>
            <w:tcW w:w="8316" w:type="dxa"/>
            <w:gridSpan w:val="9"/>
            <w:tcBorders>
              <w:top w:val="single" w:sz="6" w:space="0" w:color="FFFFFF"/>
              <w:left w:val="single" w:sz="6" w:space="0" w:color="FFFFFF"/>
              <w:bottom w:val="single" w:sz="6" w:space="0" w:color="000000"/>
              <w:right w:val="single" w:sz="6" w:space="0" w:color="FFFFFF"/>
            </w:tcBorders>
            <w:noWrap/>
            <w:vAlign w:val="center"/>
          </w:tcPr>
          <w:p>
            <w:pPr>
              <w:pStyle w:val="36"/>
            </w:pPr>
            <w:r>
              <w:t>单位：元</w:t>
            </w:r>
          </w:p>
        </w:tc>
      </w:tr>
      <w:tr>
        <w:trPr>
          <w:cantSplit/>
          <w:tblHeader/>
        </w:trPr>
        <w:tc>
          <w:tcPr>
            <w:tcW w:w="1848" w:type="dxa"/>
            <w:gridSpan w:val="2"/>
            <w:tcBorders>
              <w:top w:val="single" w:sz="6" w:space="0" w:color="000000"/>
              <w:left w:val="single" w:sz="6" w:space="0" w:color="000000"/>
              <w:bottom w:val="single" w:sz="6" w:space="0" w:color="000000"/>
              <w:right w:val="single" w:sz="6" w:space="0" w:color="000000"/>
            </w:tcBorders>
            <w:noWrap/>
            <w:vAlign w:val="center"/>
          </w:tcPr>
          <w:p>
            <w:pPr>
              <w:pStyle w:val="22"/>
            </w:pPr>
            <w:r>
              <w:t>政府采购项目来源</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采购物品名称</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政府采购目录序号</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计量  单位</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数量</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单价</w:t>
            </w:r>
          </w:p>
        </w:tc>
        <w:tc>
          <w:tcPr>
            <w:tcW w:w="7392" w:type="dxa"/>
            <w:gridSpan w:val="8"/>
            <w:tcBorders>
              <w:top w:val="single" w:sz="6" w:space="0" w:color="000000"/>
              <w:left w:val="single" w:sz="6" w:space="0" w:color="000000"/>
              <w:bottom w:val="single" w:sz="6" w:space="0" w:color="000000"/>
              <w:right w:val="single" w:sz="6" w:space="0" w:color="000000"/>
            </w:tcBorders>
            <w:noWrap/>
            <w:vAlign w:val="center"/>
          </w:tcPr>
          <w:p>
            <w:pPr>
              <w:pStyle w:val="22"/>
            </w:pPr>
            <w:r>
              <w:t>政府采购金额（当年部门预算安排资金）</w:t>
            </w:r>
          </w:p>
        </w:tc>
        <w:tc>
          <w:tcPr>
            <w:tcW w:w="924" w:type="dxa"/>
            <w:vMerge w:val="restart"/>
            <w:tcBorders>
              <w:top w:val="single" w:sz="6" w:space="0" w:color="000000"/>
              <w:left w:val="single" w:sz="6" w:space="0" w:color="000000"/>
              <w:bottom w:val="single" w:sz="6" w:space="0" w:color="000000"/>
              <w:right w:val="single" w:sz="6" w:space="0" w:color="000000"/>
            </w:tcBorders>
            <w:noWrap/>
            <w:vAlign w:val="center"/>
          </w:tcPr>
          <w:p>
            <w:pPr>
              <w:pStyle w:val="22"/>
            </w:pPr>
            <w:r>
              <w:t>2022年  预留中  小微企  业份额</w:t>
            </w:r>
          </w:p>
        </w:tc>
      </w:tr>
      <w:tr>
        <w:trPr>
          <w:cantSplit/>
          <w:tblHeader/>
        </w:trPr>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项目名称</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预算    资金</w:t>
            </w:r>
          </w:p>
        </w:tc>
        <w:tc>
          <w:tcPr>
            <w:tcW w:w="924" w:type="dxa"/>
            <w:vMerge/>
            <w:tcBorders>
              <w:top w:val="single" w:sz="6" w:space="0" w:color="000000"/>
              <w:left w:val="single" w:sz="6" w:space="0" w:color="000000"/>
              <w:bottom w:val="single" w:sz="6" w:space="0" w:color="000000"/>
              <w:right w:val="single" w:sz="6" w:space="0" w:color="000000"/>
            </w:tcBorders>
            <w:noWrap/>
          </w:tcPr>
          <w:p/>
        </w:tc>
        <w:tc>
          <w:tcPr>
            <w:tcW w:w="924" w:type="dxa"/>
            <w:vMerge/>
            <w:tcBorders>
              <w:top w:val="single" w:sz="6" w:space="0" w:color="000000"/>
              <w:left w:val="single" w:sz="6" w:space="0" w:color="000000"/>
              <w:bottom w:val="single" w:sz="6" w:space="0" w:color="000000"/>
              <w:right w:val="single" w:sz="6" w:space="0" w:color="000000"/>
            </w:tcBorders>
            <w:noWrap/>
          </w:tcPr>
          <w:p/>
        </w:tc>
        <w:tc>
          <w:tcPr>
            <w:tcW w:w="924" w:type="dxa"/>
            <w:vMerge/>
            <w:tcBorders>
              <w:top w:val="single" w:sz="6" w:space="0" w:color="000000"/>
              <w:left w:val="single" w:sz="6" w:space="0" w:color="000000"/>
              <w:bottom w:val="single" w:sz="6" w:space="0" w:color="000000"/>
              <w:right w:val="single" w:sz="6" w:space="0" w:color="000000"/>
            </w:tcBorders>
            <w:noWrap/>
          </w:tcPr>
          <w:p/>
        </w:tc>
        <w:tc>
          <w:tcPr>
            <w:tcW w:w="924" w:type="dxa"/>
            <w:vMerge/>
            <w:tcBorders>
              <w:top w:val="single" w:sz="6" w:space="0" w:color="000000"/>
              <w:left w:val="single" w:sz="6" w:space="0" w:color="000000"/>
              <w:bottom w:val="single" w:sz="6" w:space="0" w:color="000000"/>
              <w:right w:val="single" w:sz="6" w:space="0" w:color="000000"/>
            </w:tcBorders>
            <w:noWrap/>
          </w:tcPr>
          <w:p/>
        </w:tc>
        <w:tc>
          <w:tcPr>
            <w:tcW w:w="924" w:type="dxa"/>
            <w:vMerge/>
            <w:tcBorders>
              <w:top w:val="single" w:sz="6" w:space="0" w:color="000000"/>
              <w:left w:val="single" w:sz="6" w:space="0" w:color="000000"/>
              <w:bottom w:val="single" w:sz="6" w:space="0" w:color="000000"/>
              <w:right w:val="single" w:sz="6" w:space="0" w:color="000000"/>
            </w:tcBorders>
            <w:noWrap/>
          </w:tc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合计</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一般公共预算拨款</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基金预算拨款</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国有资本经营预算拨款</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财政专户核拨</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单位    资金</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财政拨    款结转</w:t>
            </w: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2"/>
            </w:pPr>
            <w:r>
              <w:t>非财政    拨款结    转结余</w:t>
            </w:r>
          </w:p>
        </w:tc>
        <w:tc>
          <w:tcPr>
            <w:tcW w:w="924" w:type="dxa"/>
            <w:vMerge/>
            <w:tcBorders>
              <w:top w:val="single" w:sz="6" w:space="0" w:color="000000"/>
              <w:left w:val="single" w:sz="6" w:space="0" w:color="000000"/>
              <w:bottom w:val="single" w:sz="6" w:space="0" w:color="000000"/>
              <w:right w:val="single" w:sz="6" w:space="0" w:color="000000"/>
            </w:tcBorders>
            <w:noWrap/>
          </w:tcPr>
          <w:p/>
        </w:tc>
      </w:tr>
      <w:tr>
        <w:trPr>
          <w:cantSplit/>
        </w:trPr>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4"/>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c>
          <w:tcPr>
            <w:tcW w:w="924"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中国共产党新乐市纪律检查委员会本级上年末固定资产金额为3760022.00元（详见下表）。本年度拟购置固定资产总额为0.00</w:t>
      </w:r>
      <w:bookmarkStart w:id="19" w:name="_GoBack"/>
      <w:bookmarkEnd w:id="19"/>
      <w:r>
        <w:rPr>
          <w:rFonts w:ascii="Times New Roman" w:eastAsia="方正仿宋_GBK" w:cs="Times New Roman" w:hAnsi="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W w:w="14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rPr>
          <w:tblHeader/>
        </w:trPr>
        <w:tc>
          <w:tcPr>
            <w:tcW w:w="4933" w:type="dxa"/>
            <w:tcBorders>
              <w:top w:val="single" w:sz="6" w:space="0" w:color="FFFFFF"/>
              <w:left w:val="single" w:sz="6" w:space="0" w:color="FFFFFF"/>
              <w:bottom w:val="single" w:sz="6" w:space="0" w:color="000000"/>
              <w:right w:val="single" w:sz="6" w:space="0" w:color="FFFFFF"/>
            </w:tcBorders>
            <w:noWrap/>
            <w:vAlign w:val="center"/>
          </w:tcPr>
          <w:p>
            <w:pPr>
              <w:pStyle w:val="21"/>
            </w:pPr>
            <w:r>
              <w:t>222001中国共产党新乐市纪律检查委员会本级</w:t>
            </w:r>
          </w:p>
        </w:tc>
        <w:tc>
          <w:tcPr>
            <w:tcW w:w="9866" w:type="dxa"/>
            <w:gridSpan w:val="2"/>
            <w:tcBorders>
              <w:top w:val="single" w:sz="6" w:space="0" w:color="FFFFFF"/>
              <w:left w:val="single" w:sz="6" w:space="0" w:color="FFFFFF"/>
              <w:bottom w:val="single" w:sz="6" w:space="0" w:color="000000"/>
              <w:right w:val="single" w:sz="6" w:space="0" w:color="FFFFFF"/>
            </w:tcBorders>
            <w:noWrap/>
            <w:vAlign w:val="center"/>
          </w:tcPr>
          <w:p>
            <w:pPr>
              <w:pStyle w:val="19"/>
            </w:pPr>
            <w:r>
              <w:t>截止时间：2021-12-31</w:t>
            </w:r>
          </w:p>
        </w:tc>
      </w:tr>
      <w:tr>
        <w:trPr>
          <w:tblHeader/>
        </w:trP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2"/>
            </w:pPr>
            <w:r>
              <w:t>项   目</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2"/>
            </w:pPr>
            <w:r>
              <w:t>数量</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2"/>
            </w:pPr>
            <w:r>
              <w:t>价值（金额单位：元）</w:t>
            </w: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资产总额</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r>
              <w:t>3760022.00</w:t>
            </w: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1、房屋（平方米）</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　　其中：办公用房（平方米）</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2、车辆（台、辆）</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r>
              <w:t>9</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r>
              <w:t>888016.00</w:t>
            </w: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3、单价在20万元以上的设备</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p>
        </w:tc>
      </w:tr>
      <w:tr>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4"/>
            </w:pPr>
            <w:r>
              <w:t>4、其他固定资产</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5"/>
            </w:pPr>
            <w:r>
              <w:t>931</w:t>
            </w:r>
          </w:p>
        </w:tc>
        <w:tc>
          <w:tcPr>
            <w:tcW w:w="4933" w:type="dxa"/>
            <w:tcBorders>
              <w:top w:val="single" w:sz="6" w:space="0" w:color="000000"/>
              <w:left w:val="single" w:sz="6" w:space="0" w:color="000000"/>
              <w:bottom w:val="single" w:sz="6" w:space="0" w:color="000000"/>
              <w:right w:val="single" w:sz="6" w:space="0" w:color="000000"/>
            </w:tcBorders>
            <w:noWrap/>
            <w:vAlign w:val="center"/>
          </w:tcPr>
          <w:p>
            <w:pPr>
              <w:pStyle w:val="23"/>
            </w:pPr>
            <w:r>
              <w:t>2872006.00</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w:t>
      </w:r>
      <w:r>
        <w:rPr>
          <w:rFonts w:eastAsia="方正仿宋_GBK" w:cs="Times New Roman" w:hint="eastAsia"/>
          <w:b w:val="0"/>
          <w:color w:val="000000"/>
          <w:sz w:val="28"/>
          <w:lang w:eastAsia="zh-CN"/>
        </w:rPr>
        <w:t>县级</w:t>
      </w:r>
      <w:r>
        <w:rPr>
          <w:rFonts w:ascii="Times New Roman" w:eastAsia="方正仿宋_GBK" w:cs="Times New Roman" w:hAnsi="Times New Roman"/>
          <w:b w:val="0"/>
          <w:color w:val="000000"/>
          <w:sz w:val="28"/>
        </w:rPr>
        <w:t>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w:t>
      </w:r>
      <w:r>
        <w:rPr>
          <w:rFonts w:eastAsia="方正仿宋_GBK" w:cs="Times New Roman" w:hint="eastAsia"/>
          <w:b w:val="0"/>
          <w:color w:val="000000"/>
          <w:sz w:val="28"/>
          <w:lang w:eastAsia="zh-CN"/>
        </w:rPr>
        <w:t>县级</w:t>
      </w:r>
      <w:r>
        <w:rPr>
          <w:rFonts w:ascii="Times New Roman" w:eastAsia="方正仿宋_GBK" w:cs="Times New Roman" w:hAnsi="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Arial Unicode MS"/>
    <w:panose1 w:val="02010609060101010101"/>
    <w:charset w:val="86"/>
    <w:family w:val="auto"/>
    <w:pitch w:val="variable"/>
    <w:sig w:usb0="800002BF" w:usb1="38CF7CFA" w:usb2="00000016" w:usb3="00000000" w:csb0="00040001" w:csb1="00000000"/>
  </w:font>
  <w:font w:name="方正楷体_GBK">
    <w:altName w:val="微软雅黑"/>
    <w:panose1 w:val="00000000000000000000"/>
    <w:charset w:val="00"/>
    <w:family w:val="auto"/>
    <w:pitch w:val="variable"/>
    <w:sig w:usb0="00000000" w:usb1="00000000" w:usb2="00000000" w:usb3="00000000" w:csb0="00000000"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docVars>
    <w:docVar w:name="commondata" w:val="eyJoZGlkIjoiMjA3ZjhiY2MwYjY4YzBjNWJmNjA3NjMzZGMyODMyNj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rPr>
      <w:rFonts w:ascii="Times New Roman" w:eastAsia="Times New Roman" w:cs="Arial" w:hAnsi="Times New Roman"/>
      <w:sz w:val="24"/>
      <w:szCs w:val="24"/>
      <w:lang w:val="en-US" w:eastAsia="uk-UA"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toc 3"/>
    <w:qFormat/>
    <w:basedOn w:val="0"/>
    <w:next w:val="0"/>
    <w:pPr>
      <w:ind w:left="480"/>
    </w:pPr>
  </w:style>
  <w:style w:type="paragraph" w:styleId="16">
    <w:name w:val="toc 1"/>
    <w:qFormat/>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17">
    <w:name w:val="toc 4"/>
    <w:qFormat/>
    <w:basedOn w:val="0"/>
    <w:next w:val="0"/>
    <w:pPr>
      <w:ind w:left="720"/>
    </w:pPr>
  </w:style>
  <w:style w:type="paragraph" w:styleId="18">
    <w:name w:val="toc 2"/>
    <w:qFormat/>
    <w:basedOn w:val="0"/>
    <w:next w:val="0"/>
    <w:pPr>
      <w:ind w:left="240"/>
    </w:pPr>
  </w:style>
  <w:style w:type="paragraph" w:customStyle="1" w:styleId="19">
    <w:name w:val="单元格样式22"/>
    <w:qFormat/>
    <w:basedOn w:val="0"/>
    <w:pPr>
      <w:spacing w:before="0" w:after="0"/>
      <w:ind w:firstLine="0"/>
      <w:jc w:val="right"/>
      <w:outlineLvl w:val="9"/>
    </w:pPr>
    <w:rPr>
      <w:rFonts w:ascii="方正小标宋_GBK" w:eastAsia="方正小标宋_GBK" w:cs="方正小标宋_GBK"/>
      <w:sz w:val="24"/>
    </w:rPr>
  </w:style>
  <w:style w:type="paragraph" w:customStyle="1" w:styleId="20">
    <w:name w:val="单元格样式21"/>
    <w:qFormat/>
    <w:basedOn w:val="0"/>
    <w:pPr>
      <w:spacing w:before="0" w:after="0"/>
      <w:ind w:firstLine="0"/>
      <w:jc w:val="center"/>
      <w:outlineLvl w:val="9"/>
    </w:pPr>
    <w:rPr>
      <w:rFonts w:ascii="方正小标宋_GBK" w:eastAsia="方正小标宋_GBK" w:cs="方正小标宋_GBK"/>
      <w:sz w:val="24"/>
    </w:rPr>
  </w:style>
  <w:style w:type="paragraph" w:customStyle="1" w:styleId="21">
    <w:name w:val="单元格样式20"/>
    <w:qFormat/>
    <w:basedOn w:val="0"/>
    <w:pPr>
      <w:spacing w:before="0" w:after="0"/>
      <w:ind w:firstLine="0"/>
      <w:jc w:val="left"/>
      <w:outlineLvl w:val="9"/>
    </w:pPr>
    <w:rPr>
      <w:rFonts w:ascii="方正小标宋_GBK" w:eastAsia="方正小标宋_GBK" w:cs="方正小标宋_GBK"/>
      <w:sz w:val="24"/>
    </w:rPr>
  </w:style>
  <w:style w:type="paragraph" w:customStyle="1" w:styleId="22">
    <w:name w:val="单元格样式1"/>
    <w:qFormat/>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4"/>
    <w:qFormat/>
    <w:basedOn w:val="0"/>
    <w:pPr>
      <w:spacing w:before="0" w:after="0"/>
      <w:ind w:firstLine="0"/>
      <w:jc w:val="right"/>
      <w:outlineLvl w:val="9"/>
    </w:pPr>
    <w:rPr>
      <w:rFonts w:ascii="方正书宋_GBK" w:eastAsia="方正书宋_GBK" w:cs="方正书宋_GBK"/>
      <w:sz w:val="21"/>
    </w:rPr>
  </w:style>
  <w:style w:type="paragraph" w:customStyle="1" w:styleId="24">
    <w:name w:val="单元格样式2"/>
    <w:qFormat/>
    <w:basedOn w:val="0"/>
    <w:pPr>
      <w:spacing w:before="0" w:after="0"/>
      <w:ind w:firstLine="0"/>
      <w:jc w:val="left"/>
      <w:outlineLvl w:val="9"/>
    </w:pPr>
    <w:rPr>
      <w:rFonts w:ascii="方正书宋_GBK" w:eastAsia="方正书宋_GBK" w:cs="方正书宋_GBK"/>
      <w:sz w:val="21"/>
    </w:rPr>
  </w:style>
  <w:style w:type="paragraph" w:customStyle="1" w:styleId="25">
    <w:name w:val="单元格样式3"/>
    <w:qFormat/>
    <w:basedOn w:val="0"/>
    <w:pPr>
      <w:spacing w:before="0" w:after="0"/>
      <w:ind w:firstLine="0"/>
      <w:jc w:val="center"/>
      <w:outlineLvl w:val="9"/>
    </w:pPr>
    <w:rPr>
      <w:rFonts w:ascii="方正书宋_GBK" w:eastAsia="方正书宋_GBK" w:cs="方正书宋_GBK"/>
      <w:sz w:val="21"/>
    </w:rPr>
  </w:style>
  <w:style w:type="paragraph" w:customStyle="1" w:styleId="26">
    <w:name w:val="单元格样式6"/>
    <w:qFormat/>
    <w:basedOn w:val="0"/>
    <w:pPr>
      <w:spacing w:before="0" w:after="0"/>
      <w:ind w:firstLine="0"/>
      <w:jc w:val="center"/>
      <w:outlineLvl w:val="9"/>
    </w:pPr>
    <w:rPr>
      <w:rFonts w:ascii="方正书宋_GBK" w:eastAsia="方正书宋_GBK" w:cs="方正书宋_GBK"/>
      <w:b/>
      <w:sz w:val="21"/>
    </w:rPr>
  </w:style>
  <w:style w:type="paragraph" w:customStyle="1" w:styleId="27">
    <w:name w:val="单元格样式7"/>
    <w:qFormat/>
    <w:basedOn w:val="0"/>
    <w:pPr>
      <w:spacing w:before="0" w:after="0"/>
      <w:ind w:firstLine="0"/>
      <w:jc w:val="right"/>
      <w:outlineLvl w:val="9"/>
    </w:pPr>
    <w:rPr>
      <w:rFonts w:ascii="方正书宋_GBK" w:eastAsia="方正书宋_GBK" w:cs="方正书宋_GBK"/>
      <w:b/>
      <w:sz w:val="21"/>
    </w:rPr>
  </w:style>
  <w:style w:type="paragraph" w:customStyle="1" w:styleId="28">
    <w:name w:val="单元格样式5"/>
    <w:qFormat/>
    <w:basedOn w:val="0"/>
    <w:pPr>
      <w:spacing w:before="0" w:after="0"/>
      <w:ind w:firstLine="0"/>
      <w:jc w:val="left"/>
      <w:outlineLvl w:val="9"/>
    </w:pPr>
    <w:rPr>
      <w:rFonts w:ascii="方正书宋_GBK" w:eastAsia="方正书宋_GBK" w:cs="方正书宋_GBK"/>
      <w:b/>
      <w:sz w:val="21"/>
    </w:rPr>
  </w:style>
  <w:style w:type="paragraph" w:customStyle="1" w:styleId="29">
    <w:name w:val="插入文本样式-插入部门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部门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预算公开部门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插入文本样式-插入预算公开部门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职责分类绩效目标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实现年度发展规划目标的保障措施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单元格样式23"/>
    <w:qFormat/>
    <w:basedOn w:val="0"/>
    <w:pPr>
      <w:spacing w:before="0" w:after="0"/>
      <w:ind w:firstLine="0"/>
      <w:jc w:val="right"/>
      <w:outlineLvl w:val="9"/>
    </w:pPr>
    <w:rPr>
      <w:rFonts w:ascii="方正书宋_GBK" w:eastAsia="方正书宋_GBK" w:cs="方正书宋_GBK"/>
      <w:sz w:val="24"/>
    </w:rPr>
  </w:style>
  <w:style w:type="paragraph" w:customStyle="1" w:styleId="37">
    <w:name w:val="插入文本样式-插入单位职责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预算公开单位预算安排的总体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插入文本样式-插入预算公开单位机关运行经费安排情况文件"/>
    <w:qFormat/>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0">
    <w:name w:val="插入文本样式-插入预算公开单位财政拨款三公经费预算情况及增减变化原因文件"/>
    <w:qFormat/>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Yozo_Office27021597764231180</Application>
  <Pages>89</Pages>
  <Words>0</Words>
  <Characters>19990</Characters>
  <Lines>0</Lines>
  <Paragraphs>306</Paragraphs>
  <CharactersWithSpaces>26654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xlsjw</dc:creator>
  <cp:lastModifiedBy>Administrator</cp:lastModifiedBy>
  <cp:revision>1</cp:revision>
  <dcterms:created xsi:type="dcterms:W3CDTF">2022-06-23T19:55:00Z</dcterms:created>
  <dcterms:modified xsi:type="dcterms:W3CDTF">2022-06-30T09:32:12Z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2052-11.1.0.11365</vt:lpwstr>
  </property>
  <property fmtid="{D5CDD505-2E9C-101B-9397-08002B2CF9AE}" pid="3" name="ICV">
    <vt:lpwstr>62E08702E6EF4E9DA4F41F244AE42D8B</vt:lpwstr>
  </property>
</Properties>
</file>